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3AE26" w14:textId="4CD01E77" w:rsidR="00A012CE" w:rsidRPr="00934D9B" w:rsidRDefault="00B7155E">
      <w:pPr>
        <w:rPr>
          <w:b/>
          <w:bCs/>
          <w:u w:val="single"/>
          <w:lang w:val="en-CA"/>
        </w:rPr>
      </w:pPr>
      <w:r>
        <w:rPr>
          <w:b/>
          <w:bCs/>
          <w:u w:val="single"/>
          <w:lang w:val="en-CA"/>
        </w:rPr>
        <w:t>INFORMED CONSENT</w:t>
      </w:r>
    </w:p>
    <w:p w14:paraId="4455EE40" w14:textId="2FA1E4C4" w:rsidR="0005381F" w:rsidRDefault="0005381F">
      <w:pPr>
        <w:rPr>
          <w:lang w:val="en-CA"/>
        </w:rPr>
      </w:pPr>
    </w:p>
    <w:p w14:paraId="70D21309" w14:textId="687E34AD" w:rsidR="0005381F" w:rsidRDefault="0005381F">
      <w:pPr>
        <w:rPr>
          <w:lang w:val="en-CA"/>
        </w:rPr>
      </w:pPr>
      <w:r>
        <w:rPr>
          <w:lang w:val="en-CA"/>
        </w:rPr>
        <w:t>Every one of us makes numerous decisions each day, such as the clothes we decide to wear or the food we decide to eat. There are also other decisions we make less frequently, but are more important and examples include getting married, drawing up a will, managing finances or deciding whether to undergo a proposed treatment. These decisions are more important because there is some element of risk</w:t>
      </w:r>
      <w:r w:rsidR="00722C77">
        <w:rPr>
          <w:lang w:val="en-CA"/>
        </w:rPr>
        <w:t xml:space="preserve"> or hazard</w:t>
      </w:r>
      <w:r>
        <w:rPr>
          <w:lang w:val="en-CA"/>
        </w:rPr>
        <w:t xml:space="preserve"> involved. In order to make any important decision a</w:t>
      </w:r>
      <w:r w:rsidR="008A5118">
        <w:rPr>
          <w:lang w:val="en-CA"/>
        </w:rPr>
        <w:t xml:space="preserve"> person </w:t>
      </w:r>
      <w:r>
        <w:rPr>
          <w:lang w:val="en-CA"/>
        </w:rPr>
        <w:t xml:space="preserve">must be fully informed beforehand, and this is called informed consent. </w:t>
      </w:r>
    </w:p>
    <w:p w14:paraId="0F72D384" w14:textId="7B381852" w:rsidR="0005381F" w:rsidRDefault="0005381F">
      <w:pPr>
        <w:rPr>
          <w:lang w:val="en-CA"/>
        </w:rPr>
      </w:pPr>
    </w:p>
    <w:p w14:paraId="3209F33B" w14:textId="17C77B16" w:rsidR="0005381F" w:rsidRDefault="0005381F">
      <w:pPr>
        <w:rPr>
          <w:lang w:val="en-CA"/>
        </w:rPr>
      </w:pPr>
      <w:r>
        <w:rPr>
          <w:lang w:val="en-CA"/>
        </w:rPr>
        <w:t xml:space="preserve">Informed consent is grounded in the </w:t>
      </w:r>
      <w:r w:rsidR="001C74ED">
        <w:rPr>
          <w:lang w:val="en-CA"/>
        </w:rPr>
        <w:t xml:space="preserve">principle of </w:t>
      </w:r>
      <w:r w:rsidR="001C74ED" w:rsidRPr="001C74ED">
        <w:rPr>
          <w:i/>
          <w:iCs/>
          <w:lang w:val="en-CA"/>
        </w:rPr>
        <w:t>autonomy</w:t>
      </w:r>
      <w:r w:rsidR="001C74ED">
        <w:rPr>
          <w:lang w:val="en-CA"/>
        </w:rPr>
        <w:t xml:space="preserve">. </w:t>
      </w:r>
      <w:r>
        <w:rPr>
          <w:lang w:val="en-CA"/>
        </w:rPr>
        <w:t xml:space="preserve"> </w:t>
      </w:r>
      <w:r w:rsidR="001C74ED">
        <w:rPr>
          <w:lang w:val="en-CA"/>
        </w:rPr>
        <w:t>Autonomy means self-rule and can be subdivided into autonomy of thought, autonomy of will and autonomy of action. It is therefore the key principle underpinning informed consent</w:t>
      </w:r>
      <w:r w:rsidR="00323A60">
        <w:rPr>
          <w:lang w:val="en-CA"/>
        </w:rPr>
        <w:t xml:space="preserve">, and one of the core ethical principles applied by a treating physician. </w:t>
      </w:r>
    </w:p>
    <w:p w14:paraId="46218A95" w14:textId="06D241A8" w:rsidR="00F02808" w:rsidRDefault="00F02808">
      <w:pPr>
        <w:rPr>
          <w:lang w:val="en-CA"/>
        </w:rPr>
      </w:pPr>
    </w:p>
    <w:p w14:paraId="28FE6F61" w14:textId="1F4E16FD" w:rsidR="00804228" w:rsidRPr="00F02808" w:rsidRDefault="00B7155E" w:rsidP="00804228">
      <w:pPr>
        <w:rPr>
          <w:b/>
          <w:bCs/>
          <w:u w:val="single"/>
          <w:lang w:val="en-GB"/>
        </w:rPr>
      </w:pPr>
      <w:r>
        <w:rPr>
          <w:b/>
          <w:bCs/>
          <w:u w:val="single"/>
          <w:lang w:val="en-GB"/>
        </w:rPr>
        <w:t>ELEMENTS OF CONSENT</w:t>
      </w:r>
    </w:p>
    <w:p w14:paraId="4403957C" w14:textId="77777777" w:rsidR="00804228" w:rsidRDefault="00804228" w:rsidP="00804228">
      <w:pPr>
        <w:rPr>
          <w:lang w:val="en-GB"/>
        </w:rPr>
      </w:pPr>
    </w:p>
    <w:p w14:paraId="588A8731" w14:textId="050930D9" w:rsidR="00804228" w:rsidRDefault="00804228" w:rsidP="00804228">
      <w:pPr>
        <w:rPr>
          <w:b/>
          <w:bCs/>
          <w:lang w:val="en-GB"/>
        </w:rPr>
      </w:pPr>
      <w:r>
        <w:rPr>
          <w:b/>
          <w:bCs/>
          <w:lang w:val="en-GB"/>
        </w:rPr>
        <w:t>There are four main elements to consent. These are</w:t>
      </w:r>
      <w:r w:rsidR="00722C77">
        <w:rPr>
          <w:b/>
          <w:bCs/>
          <w:lang w:val="en-GB"/>
        </w:rPr>
        <w:t>:</w:t>
      </w:r>
    </w:p>
    <w:p w14:paraId="4CA3B293" w14:textId="77777777" w:rsidR="00722C77" w:rsidRDefault="00722C77" w:rsidP="00804228">
      <w:pPr>
        <w:rPr>
          <w:b/>
          <w:bCs/>
          <w:lang w:val="en-GB"/>
        </w:rPr>
      </w:pPr>
    </w:p>
    <w:p w14:paraId="55715823" w14:textId="603AAD04" w:rsidR="00804228" w:rsidRPr="00722C77" w:rsidRDefault="00804228" w:rsidP="00804228">
      <w:pPr>
        <w:pStyle w:val="ListParagraph"/>
        <w:numPr>
          <w:ilvl w:val="0"/>
          <w:numId w:val="6"/>
        </w:numPr>
        <w:rPr>
          <w:lang w:val="en-CA"/>
        </w:rPr>
      </w:pPr>
      <w:r w:rsidRPr="00F02808">
        <w:rPr>
          <w:b/>
          <w:bCs/>
          <w:lang w:val="en-GB"/>
        </w:rPr>
        <w:t>Capacity</w:t>
      </w:r>
      <w:r w:rsidRPr="00F02808">
        <w:rPr>
          <w:lang w:val="en-GB"/>
        </w:rPr>
        <w:t xml:space="preserve"> - capacity </w:t>
      </w:r>
      <w:r>
        <w:rPr>
          <w:lang w:val="en-GB"/>
        </w:rPr>
        <w:t xml:space="preserve">is presumed </w:t>
      </w:r>
      <w:r w:rsidRPr="00F02808">
        <w:rPr>
          <w:lang w:val="en-GB"/>
        </w:rPr>
        <w:t>for all adults of sound mind</w:t>
      </w:r>
      <w:r>
        <w:rPr>
          <w:lang w:val="en-GB"/>
        </w:rPr>
        <w:t xml:space="preserve">, but this </w:t>
      </w:r>
      <w:r w:rsidRPr="00F02808">
        <w:rPr>
          <w:lang w:val="en-GB"/>
        </w:rPr>
        <w:t xml:space="preserve">may be rebutted by </w:t>
      </w:r>
      <w:r>
        <w:rPr>
          <w:lang w:val="en-GB"/>
        </w:rPr>
        <w:t xml:space="preserve">medical </w:t>
      </w:r>
      <w:r w:rsidRPr="00F02808">
        <w:rPr>
          <w:lang w:val="en-GB"/>
        </w:rPr>
        <w:t>evidence of pain, fatigue, drugs, etc</w:t>
      </w:r>
    </w:p>
    <w:p w14:paraId="7735B0EB" w14:textId="77777777" w:rsidR="00722C77" w:rsidRPr="00F02808" w:rsidRDefault="00722C77" w:rsidP="00722C77">
      <w:pPr>
        <w:pStyle w:val="ListParagraph"/>
        <w:rPr>
          <w:lang w:val="en-CA"/>
        </w:rPr>
      </w:pPr>
    </w:p>
    <w:p w14:paraId="301BC1D3" w14:textId="07E1104A" w:rsidR="00722C77" w:rsidRPr="008A5118" w:rsidRDefault="00F02808" w:rsidP="00D931DF">
      <w:pPr>
        <w:numPr>
          <w:ilvl w:val="0"/>
          <w:numId w:val="6"/>
        </w:numPr>
        <w:rPr>
          <w:lang w:val="en-CA"/>
        </w:rPr>
      </w:pPr>
      <w:r w:rsidRPr="008A5118">
        <w:rPr>
          <w:b/>
          <w:bCs/>
          <w:lang w:val="en-GB"/>
        </w:rPr>
        <w:t>Voluntariness</w:t>
      </w:r>
      <w:r w:rsidR="008A5118" w:rsidRPr="008A5118">
        <w:rPr>
          <w:lang w:val="en-GB"/>
        </w:rPr>
        <w:t xml:space="preserve"> – the decision should be free of </w:t>
      </w:r>
      <w:r w:rsidR="008A5118">
        <w:rPr>
          <w:lang w:val="en-GB"/>
        </w:rPr>
        <w:t xml:space="preserve">any </w:t>
      </w:r>
      <w:r w:rsidR="008A5118" w:rsidRPr="008A5118">
        <w:rPr>
          <w:lang w:val="en-GB"/>
        </w:rPr>
        <w:t>coercion or influence</w:t>
      </w:r>
    </w:p>
    <w:p w14:paraId="13A1232E" w14:textId="77777777" w:rsidR="008A5118" w:rsidRPr="008A5118" w:rsidRDefault="008A5118" w:rsidP="008A5118">
      <w:pPr>
        <w:rPr>
          <w:lang w:val="en-CA"/>
        </w:rPr>
      </w:pPr>
    </w:p>
    <w:p w14:paraId="217D378E" w14:textId="2D5A40B3" w:rsidR="00722C77" w:rsidRDefault="00F02808" w:rsidP="00722C77">
      <w:pPr>
        <w:numPr>
          <w:ilvl w:val="0"/>
          <w:numId w:val="6"/>
        </w:numPr>
        <w:rPr>
          <w:lang w:val="en-CA"/>
        </w:rPr>
      </w:pPr>
      <w:r w:rsidRPr="00F02808">
        <w:rPr>
          <w:b/>
          <w:bCs/>
          <w:lang w:val="en-GB"/>
        </w:rPr>
        <w:t>Information</w:t>
      </w:r>
      <w:r w:rsidRPr="00F02808">
        <w:rPr>
          <w:lang w:val="en-GB"/>
        </w:rPr>
        <w:t xml:space="preserve"> - How much is required?</w:t>
      </w:r>
    </w:p>
    <w:p w14:paraId="7A70E37F" w14:textId="77777777" w:rsidR="00722C77" w:rsidRPr="00722C77" w:rsidRDefault="00722C77" w:rsidP="00722C77">
      <w:pPr>
        <w:rPr>
          <w:lang w:val="en-CA"/>
        </w:rPr>
      </w:pPr>
    </w:p>
    <w:p w14:paraId="5E568538" w14:textId="77777777" w:rsidR="00F02808" w:rsidRPr="00F02808" w:rsidRDefault="00F02808" w:rsidP="00804228">
      <w:pPr>
        <w:numPr>
          <w:ilvl w:val="0"/>
          <w:numId w:val="6"/>
        </w:numPr>
        <w:rPr>
          <w:lang w:val="en-CA"/>
        </w:rPr>
      </w:pPr>
      <w:r w:rsidRPr="00F02808">
        <w:rPr>
          <w:b/>
          <w:bCs/>
          <w:lang w:val="en-GB"/>
        </w:rPr>
        <w:t>Decision</w:t>
      </w:r>
      <w:r w:rsidRPr="00F02808">
        <w:rPr>
          <w:lang w:val="en-GB"/>
        </w:rPr>
        <w:t xml:space="preserve"> - How is </w:t>
      </w:r>
      <w:r w:rsidR="00804228">
        <w:rPr>
          <w:lang w:val="en-GB"/>
        </w:rPr>
        <w:t xml:space="preserve">the </w:t>
      </w:r>
      <w:r w:rsidRPr="00F02808">
        <w:rPr>
          <w:lang w:val="en-GB"/>
        </w:rPr>
        <w:t>decision evidenced?</w:t>
      </w:r>
    </w:p>
    <w:p w14:paraId="38418D03" w14:textId="77777777" w:rsidR="00804228" w:rsidRDefault="00804228" w:rsidP="00804228">
      <w:pPr>
        <w:rPr>
          <w:lang w:val="en-GB"/>
        </w:rPr>
      </w:pPr>
    </w:p>
    <w:p w14:paraId="45CB737F" w14:textId="0F9356CA" w:rsidR="00804228" w:rsidRPr="00934D9B" w:rsidRDefault="00B7155E" w:rsidP="00804228">
      <w:pPr>
        <w:rPr>
          <w:b/>
          <w:bCs/>
          <w:u w:val="single"/>
          <w:lang w:val="en-GB"/>
        </w:rPr>
      </w:pPr>
      <w:r>
        <w:rPr>
          <w:b/>
          <w:bCs/>
          <w:u w:val="single"/>
          <w:lang w:val="en-GB"/>
        </w:rPr>
        <w:t>MENTAL CAPACITY</w:t>
      </w:r>
    </w:p>
    <w:p w14:paraId="291AACF3" w14:textId="77777777" w:rsidR="00804228" w:rsidRDefault="00804228" w:rsidP="00804228">
      <w:pPr>
        <w:rPr>
          <w:lang w:val="en-GB"/>
        </w:rPr>
      </w:pPr>
    </w:p>
    <w:p w14:paraId="7F69A9A2" w14:textId="446A9F79" w:rsidR="00804228" w:rsidRDefault="00804228" w:rsidP="00804228">
      <w:pPr>
        <w:rPr>
          <w:lang w:val="en-GB"/>
        </w:rPr>
      </w:pPr>
      <w:r>
        <w:rPr>
          <w:lang w:val="en-GB"/>
        </w:rPr>
        <w:t>Mental capacity is the ability to make decisions, an</w:t>
      </w:r>
      <w:r w:rsidR="008A5118">
        <w:rPr>
          <w:lang w:val="en-GB"/>
        </w:rPr>
        <w:t xml:space="preserve">d </w:t>
      </w:r>
      <w:r>
        <w:rPr>
          <w:lang w:val="en-GB"/>
        </w:rPr>
        <w:t xml:space="preserve">the starting point is </w:t>
      </w:r>
      <w:r w:rsidR="008A5118">
        <w:rPr>
          <w:lang w:val="en-GB"/>
        </w:rPr>
        <w:t xml:space="preserve">always </w:t>
      </w:r>
      <w:r>
        <w:rPr>
          <w:lang w:val="en-GB"/>
        </w:rPr>
        <w:t xml:space="preserve">the assumption that a person possesses the required mental capacity. However, both mental and physical disorders can impact the mental capacity of a person to make decisions. </w:t>
      </w:r>
    </w:p>
    <w:p w14:paraId="139DB75F" w14:textId="77777777" w:rsidR="00804228" w:rsidRDefault="00804228" w:rsidP="00804228">
      <w:pPr>
        <w:rPr>
          <w:lang w:val="en-GB"/>
        </w:rPr>
      </w:pPr>
    </w:p>
    <w:p w14:paraId="24907362" w14:textId="77777777" w:rsidR="00804228" w:rsidRDefault="00804228" w:rsidP="00804228">
      <w:pPr>
        <w:rPr>
          <w:lang w:val="en-GB"/>
        </w:rPr>
      </w:pPr>
      <w:r>
        <w:rPr>
          <w:lang w:val="en-GB"/>
        </w:rPr>
        <w:t>In assessing whether a person possesses the mental capacity needed to make a treatment decision, the physician or health professional administering the treatment should make sure that the person:</w:t>
      </w:r>
    </w:p>
    <w:p w14:paraId="54A72F19" w14:textId="77777777" w:rsidR="00804228" w:rsidRDefault="00804228" w:rsidP="00804228">
      <w:pPr>
        <w:rPr>
          <w:lang w:val="en-GB"/>
        </w:rPr>
      </w:pPr>
    </w:p>
    <w:p w14:paraId="2CC6AA46" w14:textId="77777777" w:rsidR="00804228" w:rsidRPr="00AB540B" w:rsidRDefault="00804228" w:rsidP="00804228">
      <w:pPr>
        <w:pStyle w:val="ListParagraph"/>
        <w:numPr>
          <w:ilvl w:val="0"/>
          <w:numId w:val="3"/>
        </w:numPr>
        <w:rPr>
          <w:lang w:val="en-GB"/>
        </w:rPr>
      </w:pPr>
      <w:r w:rsidRPr="00AB540B">
        <w:rPr>
          <w:lang w:val="en-GB"/>
        </w:rPr>
        <w:t>Understands (</w:t>
      </w:r>
      <w:proofErr w:type="spellStart"/>
      <w:r w:rsidRPr="00AB540B">
        <w:rPr>
          <w:lang w:val="en-GB"/>
        </w:rPr>
        <w:t>i</w:t>
      </w:r>
      <w:proofErr w:type="spellEnd"/>
      <w:r w:rsidRPr="00AB540B">
        <w:rPr>
          <w:lang w:val="en-GB"/>
        </w:rPr>
        <w:t>) the nature, benefits and risks of the proposed intervention, (ii) the nature, benefits and risks of any alternative treatments and (iii) the natural course of the condition if no treatment is received</w:t>
      </w:r>
    </w:p>
    <w:p w14:paraId="5C7F1140" w14:textId="77777777" w:rsidR="00804228" w:rsidRDefault="00804228" w:rsidP="00804228">
      <w:pPr>
        <w:rPr>
          <w:lang w:val="en-GB"/>
        </w:rPr>
      </w:pPr>
    </w:p>
    <w:p w14:paraId="11C5AB94" w14:textId="77777777" w:rsidR="00804228" w:rsidRPr="00AB540B" w:rsidRDefault="00804228" w:rsidP="00804228">
      <w:pPr>
        <w:pStyle w:val="ListParagraph"/>
        <w:numPr>
          <w:ilvl w:val="0"/>
          <w:numId w:val="3"/>
        </w:numPr>
        <w:rPr>
          <w:lang w:val="en-GB"/>
        </w:rPr>
      </w:pPr>
      <w:r w:rsidRPr="00AB540B">
        <w:rPr>
          <w:lang w:val="en-GB"/>
        </w:rPr>
        <w:t>Is able to retain the information for long enough to make the decision</w:t>
      </w:r>
    </w:p>
    <w:p w14:paraId="675412BF" w14:textId="77777777" w:rsidR="00804228" w:rsidRDefault="00804228" w:rsidP="00804228">
      <w:pPr>
        <w:rPr>
          <w:lang w:val="en-GB"/>
        </w:rPr>
      </w:pPr>
    </w:p>
    <w:p w14:paraId="1F601C41" w14:textId="7FC5FD2C" w:rsidR="00804228" w:rsidRPr="00AB540B" w:rsidRDefault="00804228" w:rsidP="00804228">
      <w:pPr>
        <w:pStyle w:val="ListParagraph"/>
        <w:numPr>
          <w:ilvl w:val="0"/>
          <w:numId w:val="3"/>
        </w:numPr>
        <w:rPr>
          <w:lang w:val="en-GB"/>
        </w:rPr>
      </w:pPr>
      <w:r w:rsidRPr="00AB540B">
        <w:rPr>
          <w:lang w:val="en-GB"/>
        </w:rPr>
        <w:lastRenderedPageBreak/>
        <w:t>Is able to weigh or appreciate the information to their own individual situation (this is a higher order cognitive test than merely understanding), and</w:t>
      </w:r>
    </w:p>
    <w:p w14:paraId="4528AE8C" w14:textId="77777777" w:rsidR="00804228" w:rsidRDefault="00804228" w:rsidP="00804228">
      <w:pPr>
        <w:rPr>
          <w:lang w:val="en-GB"/>
        </w:rPr>
      </w:pPr>
    </w:p>
    <w:p w14:paraId="44BD0EE5" w14:textId="77777777" w:rsidR="00804228" w:rsidRPr="00AB540B" w:rsidRDefault="00804228" w:rsidP="00804228">
      <w:pPr>
        <w:pStyle w:val="ListParagraph"/>
        <w:numPr>
          <w:ilvl w:val="0"/>
          <w:numId w:val="3"/>
        </w:numPr>
        <w:rPr>
          <w:lang w:val="en-GB"/>
        </w:rPr>
      </w:pPr>
      <w:r w:rsidRPr="00AB540B">
        <w:rPr>
          <w:lang w:val="en-GB"/>
        </w:rPr>
        <w:t>Is able to communicate their decision</w:t>
      </w:r>
    </w:p>
    <w:p w14:paraId="23F13F75" w14:textId="77777777" w:rsidR="00804228" w:rsidRDefault="00804228" w:rsidP="00804228">
      <w:pPr>
        <w:rPr>
          <w:lang w:val="en-GB"/>
        </w:rPr>
      </w:pPr>
      <w:r>
        <w:rPr>
          <w:lang w:val="en-GB"/>
        </w:rPr>
        <w:t xml:space="preserve"> </w:t>
      </w:r>
    </w:p>
    <w:p w14:paraId="791C444A" w14:textId="4EAF7C6D" w:rsidR="00804228" w:rsidRDefault="00804228" w:rsidP="00804228">
      <w:pPr>
        <w:rPr>
          <w:lang w:val="en-GB"/>
        </w:rPr>
      </w:pPr>
      <w:r>
        <w:rPr>
          <w:lang w:val="en-GB"/>
        </w:rPr>
        <w:t xml:space="preserve">Mental capacity is decision specific, and can be revoked by the person at any time. The assessment of adolescents adds significant developmental complexity to the assessment of mental capacity, and any treatment provider should satisfy themselves that they have fully assessed the mental capacity of a youth </w:t>
      </w:r>
      <w:r w:rsidR="008A5118">
        <w:rPr>
          <w:lang w:val="en-GB"/>
        </w:rPr>
        <w:t xml:space="preserve">or child </w:t>
      </w:r>
      <w:r>
        <w:rPr>
          <w:lang w:val="en-GB"/>
        </w:rPr>
        <w:t xml:space="preserve">prior to beginning treatment. </w:t>
      </w:r>
    </w:p>
    <w:p w14:paraId="3C3A6500" w14:textId="77777777" w:rsidR="00722C77" w:rsidRDefault="00722C77" w:rsidP="00804228">
      <w:pPr>
        <w:rPr>
          <w:lang w:val="en-GB"/>
        </w:rPr>
      </w:pPr>
    </w:p>
    <w:p w14:paraId="4C74D473" w14:textId="7E567913" w:rsidR="00804228" w:rsidRPr="00722C77" w:rsidRDefault="00722C77" w:rsidP="00804228">
      <w:pPr>
        <w:rPr>
          <w:b/>
          <w:bCs/>
          <w:u w:val="single"/>
          <w:lang w:val="en-GB"/>
        </w:rPr>
      </w:pPr>
      <w:r w:rsidRPr="00722C77">
        <w:rPr>
          <w:b/>
          <w:bCs/>
          <w:u w:val="single"/>
          <w:lang w:val="en-GB"/>
        </w:rPr>
        <w:t>VOLUNTARINESS, INFORMATION DISCLOSURE AND DECISION</w:t>
      </w:r>
    </w:p>
    <w:p w14:paraId="46DF20AF" w14:textId="77777777" w:rsidR="00722C77" w:rsidRDefault="00722C77" w:rsidP="00804228">
      <w:pPr>
        <w:rPr>
          <w:lang w:val="en-GB"/>
        </w:rPr>
      </w:pPr>
    </w:p>
    <w:p w14:paraId="1B74B32B" w14:textId="77777777" w:rsidR="00722C77" w:rsidRDefault="00722C77" w:rsidP="00722C77">
      <w:pPr>
        <w:rPr>
          <w:lang w:val="en-CA"/>
        </w:rPr>
      </w:pPr>
      <w:r w:rsidRPr="00323A60">
        <w:rPr>
          <w:b/>
          <w:bCs/>
        </w:rPr>
        <w:t>Voluntariness</w:t>
      </w:r>
      <w:r w:rsidRPr="00323A60">
        <w:t xml:space="preserve"> </w:t>
      </w:r>
      <w:r>
        <w:t xml:space="preserve">requires that any treatment </w:t>
      </w:r>
      <w:r w:rsidRPr="00323A60">
        <w:t>decision must be made free of coercion or undue influence</w:t>
      </w:r>
      <w:r>
        <w:t>.</w:t>
      </w:r>
      <w:r>
        <w:rPr>
          <w:lang w:val="en-CA"/>
        </w:rPr>
        <w:t xml:space="preserve"> </w:t>
      </w:r>
    </w:p>
    <w:p w14:paraId="670A3B9B" w14:textId="77777777" w:rsidR="00722C77" w:rsidRDefault="00722C77" w:rsidP="00722C77">
      <w:pPr>
        <w:rPr>
          <w:lang w:val="en-CA"/>
        </w:rPr>
      </w:pPr>
    </w:p>
    <w:p w14:paraId="0E9D91FD" w14:textId="279D955D" w:rsidR="00722C77" w:rsidRDefault="00722C77" w:rsidP="00722C77">
      <w:r>
        <w:rPr>
          <w:lang w:val="en-CA"/>
        </w:rPr>
        <w:t xml:space="preserve">The </w:t>
      </w:r>
      <w:r w:rsidRPr="00323A60">
        <w:rPr>
          <w:b/>
          <w:bCs/>
        </w:rPr>
        <w:t>Information disclosure</w:t>
      </w:r>
      <w:r w:rsidRPr="00323A60">
        <w:t xml:space="preserve"> </w:t>
      </w:r>
      <w:r w:rsidR="008A5118">
        <w:t>involves</w:t>
      </w:r>
      <w:r w:rsidRPr="00323A60">
        <w:t xml:space="preserve"> what would a reasonable person expect to be told</w:t>
      </w:r>
      <w:r w:rsidR="008A5118">
        <w:t xml:space="preserve"> in making a treatment decision</w:t>
      </w:r>
      <w:r>
        <w:t xml:space="preserve">; </w:t>
      </w:r>
      <w:r w:rsidR="008A5118">
        <w:t xml:space="preserve">a </w:t>
      </w:r>
      <w:r>
        <w:t>physician must provide</w:t>
      </w:r>
      <w:r w:rsidRPr="00323A60">
        <w:t xml:space="preserve"> all information materially relevant to decision</w:t>
      </w:r>
      <w:r>
        <w:t>.</w:t>
      </w:r>
    </w:p>
    <w:p w14:paraId="4DF640DF" w14:textId="77777777" w:rsidR="00722C77" w:rsidRDefault="00722C77" w:rsidP="00722C77"/>
    <w:p w14:paraId="7B237A0F" w14:textId="77777777" w:rsidR="00722C77" w:rsidRDefault="00722C77" w:rsidP="00722C77">
      <w:r>
        <w:t xml:space="preserve">The </w:t>
      </w:r>
      <w:r w:rsidRPr="00722C77">
        <w:rPr>
          <w:b/>
          <w:bCs/>
        </w:rPr>
        <w:t>decision</w:t>
      </w:r>
      <w:r>
        <w:t xml:space="preserve"> should be evidenced in written form, preferably in the person’s medical records. </w:t>
      </w:r>
    </w:p>
    <w:p w14:paraId="5CB80A6C" w14:textId="77777777" w:rsidR="00722C77" w:rsidRDefault="00722C77" w:rsidP="00804228">
      <w:pPr>
        <w:rPr>
          <w:lang w:val="en-GB"/>
        </w:rPr>
      </w:pPr>
    </w:p>
    <w:p w14:paraId="39072C80" w14:textId="31E1CA1E" w:rsidR="00804228" w:rsidRPr="00804228" w:rsidRDefault="00B7155E" w:rsidP="00804228">
      <w:pPr>
        <w:rPr>
          <w:b/>
          <w:bCs/>
          <w:u w:val="single"/>
          <w:lang w:val="en-GB"/>
        </w:rPr>
      </w:pPr>
      <w:r>
        <w:rPr>
          <w:b/>
          <w:bCs/>
          <w:u w:val="single"/>
          <w:lang w:val="en-GB"/>
        </w:rPr>
        <w:t>PURPOSE OF CONSENT</w:t>
      </w:r>
    </w:p>
    <w:p w14:paraId="6342F37A" w14:textId="77777777" w:rsidR="00804228" w:rsidRDefault="00804228" w:rsidP="00804228">
      <w:pPr>
        <w:rPr>
          <w:lang w:val="en-GB"/>
        </w:rPr>
      </w:pPr>
    </w:p>
    <w:p w14:paraId="1A838C61" w14:textId="618C2E3F" w:rsidR="00804228" w:rsidRDefault="00804228" w:rsidP="00804228">
      <w:pPr>
        <w:rPr>
          <w:lang w:val="en-GB"/>
        </w:rPr>
      </w:pPr>
      <w:r>
        <w:rPr>
          <w:lang w:val="en-GB"/>
        </w:rPr>
        <w:t>The purposes of gaining consent are threefold. Firstly, the clinical purpose is to</w:t>
      </w:r>
      <w:r w:rsidR="00934D9B" w:rsidRPr="00934D9B">
        <w:rPr>
          <w:lang w:val="en-GB"/>
        </w:rPr>
        <w:t xml:space="preserve"> enlist </w:t>
      </w:r>
      <w:r>
        <w:rPr>
          <w:lang w:val="en-GB"/>
        </w:rPr>
        <w:t>the person’s</w:t>
      </w:r>
      <w:r w:rsidR="00934D9B" w:rsidRPr="00934D9B">
        <w:rPr>
          <w:lang w:val="en-GB"/>
        </w:rPr>
        <w:t xml:space="preserve"> faith and confidence in the efficacy of the treatment</w:t>
      </w:r>
      <w:r>
        <w:rPr>
          <w:lang w:val="en-GB"/>
        </w:rPr>
        <w:t>, which</w:t>
      </w:r>
      <w:r w:rsidR="00934D9B" w:rsidRPr="00934D9B">
        <w:rPr>
          <w:lang w:val="en-GB"/>
        </w:rPr>
        <w:t xml:space="preserve"> is a major factor contributing to the success</w:t>
      </w:r>
      <w:r>
        <w:rPr>
          <w:lang w:val="en-GB"/>
        </w:rPr>
        <w:t xml:space="preserve"> of treatment. Secondly, there is a legal purpose which is </w:t>
      </w:r>
      <w:r w:rsidR="00934D9B" w:rsidRPr="00934D9B">
        <w:rPr>
          <w:lang w:val="en-GB"/>
        </w:rPr>
        <w:t>to provide those concerned in the treatment with a defence</w:t>
      </w:r>
      <w:r>
        <w:rPr>
          <w:lang w:val="en-GB"/>
        </w:rPr>
        <w:t xml:space="preserve">. Finally, there is a legal / ethical purpose, which </w:t>
      </w:r>
      <w:r w:rsidR="00722C77">
        <w:rPr>
          <w:lang w:val="en-GB"/>
        </w:rPr>
        <w:t>recognizes</w:t>
      </w:r>
      <w:r w:rsidR="00934D9B" w:rsidRPr="00934D9B">
        <w:rPr>
          <w:lang w:val="en-GB"/>
        </w:rPr>
        <w:t xml:space="preserve"> </w:t>
      </w:r>
      <w:r>
        <w:rPr>
          <w:lang w:val="en-GB"/>
        </w:rPr>
        <w:t>person’s</w:t>
      </w:r>
      <w:r w:rsidR="00934D9B" w:rsidRPr="00934D9B">
        <w:rPr>
          <w:lang w:val="en-GB"/>
        </w:rPr>
        <w:t xml:space="preserve"> right of self-determination</w:t>
      </w:r>
      <w:r>
        <w:rPr>
          <w:lang w:val="en-GB"/>
        </w:rPr>
        <w:t>.</w:t>
      </w:r>
    </w:p>
    <w:p w14:paraId="4B2D6EBF" w14:textId="77777777" w:rsidR="00804228" w:rsidRDefault="00804228">
      <w:pPr>
        <w:rPr>
          <w:lang w:val="en-CA"/>
        </w:rPr>
      </w:pPr>
    </w:p>
    <w:p w14:paraId="2D766C41" w14:textId="00C9011B" w:rsidR="00934D9B" w:rsidRPr="00934D9B" w:rsidRDefault="00B7155E">
      <w:pPr>
        <w:rPr>
          <w:b/>
          <w:bCs/>
          <w:u w:val="single"/>
          <w:lang w:val="en-CA"/>
        </w:rPr>
      </w:pPr>
      <w:r>
        <w:rPr>
          <w:b/>
          <w:bCs/>
          <w:u w:val="single"/>
          <w:lang w:val="en-CA"/>
        </w:rPr>
        <w:t>THE HISTORICAL DEVELOPMENT OF AUTONOMY AND INFORMED CONSENT</w:t>
      </w:r>
    </w:p>
    <w:p w14:paraId="4EA068C4" w14:textId="77777777" w:rsidR="00934D9B" w:rsidRDefault="00934D9B">
      <w:pPr>
        <w:rPr>
          <w:lang w:val="en-CA"/>
        </w:rPr>
      </w:pPr>
    </w:p>
    <w:p w14:paraId="1C2906FD" w14:textId="770A0E60" w:rsidR="0005381F" w:rsidRDefault="0005381F">
      <w:pPr>
        <w:rPr>
          <w:lang w:val="en-CA"/>
        </w:rPr>
      </w:pPr>
      <w:r>
        <w:rPr>
          <w:lang w:val="en-CA"/>
        </w:rPr>
        <w:t xml:space="preserve">The legal </w:t>
      </w:r>
      <w:r w:rsidR="00323A60">
        <w:rPr>
          <w:lang w:val="en-CA"/>
        </w:rPr>
        <w:t>principle of autonomy</w:t>
      </w:r>
      <w:r>
        <w:rPr>
          <w:lang w:val="en-CA"/>
        </w:rPr>
        <w:t xml:space="preserve"> is grounded in several very important legal cases. </w:t>
      </w:r>
      <w:r w:rsidR="001C74ED">
        <w:rPr>
          <w:lang w:val="en-CA"/>
        </w:rPr>
        <w:t xml:space="preserve">The first of these were a set of four </w:t>
      </w:r>
      <w:r w:rsidR="00323A60">
        <w:rPr>
          <w:lang w:val="en-CA"/>
        </w:rPr>
        <w:t xml:space="preserve">US </w:t>
      </w:r>
      <w:r w:rsidR="001C74ED">
        <w:rPr>
          <w:lang w:val="en-CA"/>
        </w:rPr>
        <w:t>cases</w:t>
      </w:r>
      <w:r w:rsidR="001C74ED">
        <w:rPr>
          <w:rStyle w:val="FootnoteReference"/>
          <w:lang w:val="en-CA"/>
        </w:rPr>
        <w:footnoteReference w:id="1"/>
      </w:r>
      <w:r w:rsidR="008A5118" w:rsidRPr="008A5118">
        <w:rPr>
          <w:vertAlign w:val="superscript"/>
          <w:lang w:val="en-CA"/>
        </w:rPr>
        <w:t>,</w:t>
      </w:r>
      <w:r w:rsidR="008A5118">
        <w:rPr>
          <w:rStyle w:val="FootnoteReference"/>
          <w:lang w:val="en-CA"/>
        </w:rPr>
        <w:footnoteReference w:id="2"/>
      </w:r>
      <w:r w:rsidR="008A5118" w:rsidRPr="008A5118">
        <w:rPr>
          <w:vertAlign w:val="superscript"/>
          <w:lang w:val="en-CA"/>
        </w:rPr>
        <w:t>,</w:t>
      </w:r>
      <w:r w:rsidR="008A5118">
        <w:rPr>
          <w:rStyle w:val="FootnoteReference"/>
          <w:lang w:val="en-CA"/>
        </w:rPr>
        <w:footnoteReference w:id="3"/>
      </w:r>
      <w:r w:rsidR="008A5118" w:rsidRPr="008A5118">
        <w:rPr>
          <w:vertAlign w:val="superscript"/>
          <w:lang w:val="en-CA"/>
        </w:rPr>
        <w:t>,</w:t>
      </w:r>
      <w:r w:rsidR="008A5118">
        <w:rPr>
          <w:rStyle w:val="FootnoteReference"/>
          <w:lang w:val="en-CA"/>
        </w:rPr>
        <w:footnoteReference w:id="4"/>
      </w:r>
      <w:r w:rsidR="008A5118">
        <w:rPr>
          <w:vertAlign w:val="superscript"/>
          <w:lang w:val="en-CA"/>
        </w:rPr>
        <w:t xml:space="preserve"> </w:t>
      </w:r>
      <w:r w:rsidR="001C74ED">
        <w:rPr>
          <w:lang w:val="en-CA"/>
        </w:rPr>
        <w:t>between 1905 and 1914 from different states</w:t>
      </w:r>
      <w:r w:rsidR="008A5118">
        <w:rPr>
          <w:lang w:val="en-CA"/>
        </w:rPr>
        <w:t xml:space="preserve"> of the US</w:t>
      </w:r>
      <w:r w:rsidR="001C74ED">
        <w:rPr>
          <w:lang w:val="en-CA"/>
        </w:rPr>
        <w:t xml:space="preserve">. In the last of these cases, </w:t>
      </w:r>
      <w:proofErr w:type="spellStart"/>
      <w:r w:rsidR="001C74ED" w:rsidRPr="001C74ED">
        <w:rPr>
          <w:i/>
          <w:iCs/>
          <w:lang w:val="en-CA"/>
        </w:rPr>
        <w:t>Schloendorff</w:t>
      </w:r>
      <w:proofErr w:type="spellEnd"/>
      <w:r w:rsidR="001C74ED">
        <w:rPr>
          <w:lang w:val="en-CA"/>
        </w:rPr>
        <w:t xml:space="preserve">, the judge, Benjamin Cardozo, </w:t>
      </w:r>
      <w:r w:rsidR="00371BD2">
        <w:rPr>
          <w:lang w:val="en-CA"/>
        </w:rPr>
        <w:t>stated</w:t>
      </w:r>
      <w:r w:rsidR="00934D9B">
        <w:rPr>
          <w:lang w:val="en-CA"/>
        </w:rPr>
        <w:t>:</w:t>
      </w:r>
    </w:p>
    <w:p w14:paraId="18D3F99C" w14:textId="171B8D32" w:rsidR="00371BD2" w:rsidRDefault="00371BD2">
      <w:pPr>
        <w:rPr>
          <w:lang w:val="en-CA"/>
        </w:rPr>
      </w:pPr>
    </w:p>
    <w:p w14:paraId="1704817F" w14:textId="5D276498" w:rsidR="00371BD2" w:rsidRDefault="00371BD2">
      <w:pPr>
        <w:rPr>
          <w:lang w:val="en-GB"/>
        </w:rPr>
      </w:pPr>
      <w:r>
        <w:rPr>
          <w:lang w:val="en-CA"/>
        </w:rPr>
        <w:t>“</w:t>
      </w:r>
      <w:r w:rsidRPr="00371BD2">
        <w:rPr>
          <w:i/>
          <w:iCs/>
          <w:lang w:val="en-GB"/>
        </w:rPr>
        <w:t>Every human being of adult years and sound mind has a right to determine what shall be done with his own body… a surgeon who performs an operation without his patient's consent commits an assault, for which he is liable in damages</w:t>
      </w:r>
      <w:r w:rsidRPr="00371BD2">
        <w:rPr>
          <w:lang w:val="en-GB"/>
        </w:rPr>
        <w:t>”</w:t>
      </w:r>
      <w:r>
        <w:rPr>
          <w:lang w:val="en-GB"/>
        </w:rPr>
        <w:t>.</w:t>
      </w:r>
    </w:p>
    <w:p w14:paraId="4B4AFCB3" w14:textId="16CD44EF" w:rsidR="00371BD2" w:rsidRDefault="00371BD2">
      <w:pPr>
        <w:rPr>
          <w:lang w:val="en-GB"/>
        </w:rPr>
      </w:pPr>
    </w:p>
    <w:p w14:paraId="5BDA397F" w14:textId="2296ED99" w:rsidR="00371BD2" w:rsidRDefault="00371BD2">
      <w:pPr>
        <w:rPr>
          <w:lang w:val="en-GB"/>
        </w:rPr>
      </w:pPr>
      <w:r>
        <w:rPr>
          <w:lang w:val="en-GB"/>
        </w:rPr>
        <w:lastRenderedPageBreak/>
        <w:t>The legal principle of autonomy was further refined in subsequent cases</w:t>
      </w:r>
      <w:r w:rsidR="00722C77">
        <w:rPr>
          <w:lang w:val="en-GB"/>
        </w:rPr>
        <w:t xml:space="preserve"> in the US</w:t>
      </w:r>
      <w:r>
        <w:rPr>
          <w:lang w:val="en-GB"/>
        </w:rPr>
        <w:t xml:space="preserve">. </w:t>
      </w:r>
      <w:proofErr w:type="spellStart"/>
      <w:r w:rsidRPr="00371BD2">
        <w:rPr>
          <w:i/>
          <w:iCs/>
          <w:lang w:val="en-GB"/>
        </w:rPr>
        <w:t>Salgo</w:t>
      </w:r>
      <w:proofErr w:type="spellEnd"/>
      <w:r>
        <w:rPr>
          <w:rStyle w:val="FootnoteReference"/>
          <w:lang w:val="en-GB"/>
        </w:rPr>
        <w:footnoteReference w:id="5"/>
      </w:r>
      <w:r>
        <w:rPr>
          <w:lang w:val="en-GB"/>
        </w:rPr>
        <w:t xml:space="preserve"> introduced</w:t>
      </w:r>
      <w:r>
        <w:t xml:space="preserve"> a n</w:t>
      </w:r>
      <w:r w:rsidRPr="00371BD2">
        <w:t xml:space="preserve">ew type of consent, focusing on whether </w:t>
      </w:r>
      <w:r>
        <w:t>the physician</w:t>
      </w:r>
      <w:r w:rsidRPr="00371BD2">
        <w:t xml:space="preserve"> had provided </w:t>
      </w:r>
      <w:r>
        <w:t xml:space="preserve">the </w:t>
      </w:r>
      <w:r w:rsidRPr="00371BD2">
        <w:t xml:space="preserve">patient with all </w:t>
      </w:r>
      <w:r>
        <w:t xml:space="preserve">the </w:t>
      </w:r>
      <w:r w:rsidRPr="00371BD2">
        <w:t xml:space="preserve">information needed to make </w:t>
      </w:r>
      <w:r>
        <w:t xml:space="preserve">an </w:t>
      </w:r>
      <w:r w:rsidRPr="00371BD2">
        <w:t xml:space="preserve">intelligent decision, including </w:t>
      </w:r>
      <w:r>
        <w:t xml:space="preserve">the </w:t>
      </w:r>
      <w:r w:rsidRPr="00371BD2">
        <w:t xml:space="preserve">harms, benefits, risks and alternatives of </w:t>
      </w:r>
      <w:r>
        <w:t xml:space="preserve">the </w:t>
      </w:r>
      <w:r w:rsidRPr="00371BD2">
        <w:t>proposed procedure</w:t>
      </w:r>
      <w:r>
        <w:t>. Th</w:t>
      </w:r>
      <w:r>
        <w:rPr>
          <w:lang w:val="en-GB"/>
        </w:rPr>
        <w:t>e court held</w:t>
      </w:r>
      <w:r w:rsidR="00934D9B">
        <w:rPr>
          <w:lang w:val="en-GB"/>
        </w:rPr>
        <w:t>:</w:t>
      </w:r>
    </w:p>
    <w:p w14:paraId="6632D50B" w14:textId="4723E328" w:rsidR="00371BD2" w:rsidRDefault="00371BD2">
      <w:pPr>
        <w:rPr>
          <w:lang w:val="en-GB"/>
        </w:rPr>
      </w:pPr>
    </w:p>
    <w:p w14:paraId="46CE5F68" w14:textId="4936AF33" w:rsidR="00371BD2" w:rsidRDefault="00371BD2">
      <w:r>
        <w:rPr>
          <w:lang w:val="en-GB"/>
        </w:rPr>
        <w:t>“</w:t>
      </w:r>
      <w:r w:rsidRPr="00371BD2">
        <w:rPr>
          <w:i/>
          <w:iCs/>
        </w:rPr>
        <w:t>A physician violates his duty to his patient and subjects himself to liability if he withholds any facts which are necessary to form the basis of an intelligent consent by the patient to the proposed treatment</w:t>
      </w:r>
      <w:r w:rsidRPr="00371BD2">
        <w:t>”</w:t>
      </w:r>
    </w:p>
    <w:p w14:paraId="51EC2359" w14:textId="6B14F5C8" w:rsidR="00371BD2" w:rsidRDefault="00371BD2"/>
    <w:p w14:paraId="766515F3" w14:textId="6382CBAD" w:rsidR="00722AB5" w:rsidRDefault="00371BD2">
      <w:r w:rsidRPr="00722AB5">
        <w:rPr>
          <w:i/>
          <w:iCs/>
        </w:rPr>
        <w:t>Canterbury v Spence</w:t>
      </w:r>
      <w:r>
        <w:rPr>
          <w:rStyle w:val="FootnoteReference"/>
        </w:rPr>
        <w:footnoteReference w:id="6"/>
      </w:r>
      <w:r>
        <w:t xml:space="preserve"> </w:t>
      </w:r>
      <w:r w:rsidR="00934D9B">
        <w:t>saw the U</w:t>
      </w:r>
      <w:r w:rsidR="00804228">
        <w:t>S</w:t>
      </w:r>
      <w:r w:rsidR="00934D9B">
        <w:t xml:space="preserve"> law of</w:t>
      </w:r>
      <w:r>
        <w:t xml:space="preserve"> informed consent </w:t>
      </w:r>
      <w:r w:rsidR="00722AB5">
        <w:t xml:space="preserve">evolve from the professional practice standard (what a physician thought a </w:t>
      </w:r>
      <w:r w:rsidR="00934D9B">
        <w:t>person</w:t>
      </w:r>
      <w:r w:rsidR="00722AB5">
        <w:t xml:space="preserve"> should know) to a reasonable person standard (what a reasonable person would want to know). This case saw the introduction of informed consent. </w:t>
      </w:r>
    </w:p>
    <w:p w14:paraId="127F4181" w14:textId="77777777" w:rsidR="00722AB5" w:rsidRDefault="00722AB5"/>
    <w:p w14:paraId="1E25DB71" w14:textId="710B0166" w:rsidR="00371BD2" w:rsidRDefault="00722AB5">
      <w:r>
        <w:t xml:space="preserve">1980 saw two important Canadian cases regarding informed consent </w:t>
      </w:r>
      <w:r w:rsidR="00934D9B">
        <w:t>coming</w:t>
      </w:r>
      <w:r>
        <w:t xml:space="preserve"> before the Supreme Court of Canada. In the first of these, </w:t>
      </w:r>
      <w:proofErr w:type="spellStart"/>
      <w:r w:rsidRPr="00722AB5">
        <w:rPr>
          <w:i/>
          <w:iCs/>
        </w:rPr>
        <w:t>Hopp</w:t>
      </w:r>
      <w:proofErr w:type="spellEnd"/>
      <w:r w:rsidRPr="00722AB5">
        <w:rPr>
          <w:i/>
          <w:iCs/>
        </w:rPr>
        <w:t xml:space="preserve"> v </w:t>
      </w:r>
      <w:proofErr w:type="spellStart"/>
      <w:r w:rsidRPr="00722AB5">
        <w:rPr>
          <w:i/>
          <w:iCs/>
        </w:rPr>
        <w:t>Lepp</w:t>
      </w:r>
      <w:proofErr w:type="spellEnd"/>
      <w:r>
        <w:rPr>
          <w:rStyle w:val="FootnoteReference"/>
        </w:rPr>
        <w:footnoteReference w:id="7"/>
      </w:r>
      <w:r>
        <w:t xml:space="preserve">, the court had to deal with informed consent for the first time. </w:t>
      </w:r>
      <w:r w:rsidR="00934D9B">
        <w:t>T</w:t>
      </w:r>
      <w:r>
        <w:t>he court stated</w:t>
      </w:r>
      <w:r w:rsidR="00934D9B">
        <w:t>:</w:t>
      </w:r>
    </w:p>
    <w:p w14:paraId="729F8D99" w14:textId="6E081C4B" w:rsidR="00722AB5" w:rsidRDefault="00722AB5"/>
    <w:p w14:paraId="481C8237" w14:textId="520ADD7A" w:rsidR="00722AB5" w:rsidRDefault="00722AB5" w:rsidP="00722AB5">
      <w:pPr>
        <w:rPr>
          <w:i/>
          <w:iCs/>
          <w:lang w:val="en-CA"/>
        </w:rPr>
      </w:pPr>
      <w:r w:rsidRPr="00722AB5">
        <w:rPr>
          <w:i/>
          <w:iCs/>
          <w:lang w:val="en-CA"/>
        </w:rPr>
        <w:t>“…a surgeon, generally, should answer any specific questions posed by the patient as to the risks involved and should, without being questioned, disclose to him the nature of the proposed operation, its gravity, any material risks and any special or unusual risks attendant upon the</w:t>
      </w:r>
      <w:r w:rsidRPr="00722AB5">
        <w:rPr>
          <w:lang w:val="en-CA"/>
        </w:rPr>
        <w:t xml:space="preserve"> </w:t>
      </w:r>
      <w:r w:rsidRPr="00722AB5">
        <w:rPr>
          <w:i/>
          <w:iCs/>
          <w:lang w:val="en-CA"/>
        </w:rPr>
        <w:t>performance of the operation”</w:t>
      </w:r>
      <w:r>
        <w:rPr>
          <w:i/>
          <w:iCs/>
          <w:lang w:val="en-CA"/>
        </w:rPr>
        <w:t>.</w:t>
      </w:r>
    </w:p>
    <w:p w14:paraId="05DF7CC5" w14:textId="69C2572C" w:rsidR="00722AB5" w:rsidRDefault="00722AB5" w:rsidP="00722AB5">
      <w:pPr>
        <w:rPr>
          <w:i/>
          <w:iCs/>
          <w:lang w:val="en-CA"/>
        </w:rPr>
      </w:pPr>
    </w:p>
    <w:p w14:paraId="5F97295F" w14:textId="7CFAFA4C" w:rsidR="00722AB5" w:rsidRDefault="00722C77" w:rsidP="00722AB5">
      <w:r>
        <w:rPr>
          <w:lang w:val="en-CA"/>
        </w:rPr>
        <w:t>The</w:t>
      </w:r>
      <w:r w:rsidR="00722AB5">
        <w:rPr>
          <w:lang w:val="en-CA"/>
        </w:rPr>
        <w:t xml:space="preserve"> second case, </w:t>
      </w:r>
      <w:proofErr w:type="spellStart"/>
      <w:r w:rsidR="00722AB5" w:rsidRPr="00722AB5">
        <w:rPr>
          <w:i/>
          <w:iCs/>
          <w:lang w:val="en-CA"/>
        </w:rPr>
        <w:t>Reibl</w:t>
      </w:r>
      <w:proofErr w:type="spellEnd"/>
      <w:r w:rsidR="00722AB5" w:rsidRPr="00722AB5">
        <w:rPr>
          <w:i/>
          <w:iCs/>
          <w:lang w:val="en-CA"/>
        </w:rPr>
        <w:t xml:space="preserve"> v Hughes</w:t>
      </w:r>
      <w:r w:rsidR="00722AB5">
        <w:rPr>
          <w:rStyle w:val="FootnoteReference"/>
          <w:lang w:val="en-CA"/>
        </w:rPr>
        <w:footnoteReference w:id="8"/>
      </w:r>
      <w:r w:rsidR="00722AB5">
        <w:rPr>
          <w:lang w:val="en-CA"/>
        </w:rPr>
        <w:t xml:space="preserve">, saw the </w:t>
      </w:r>
      <w:r w:rsidR="00722AB5" w:rsidRPr="00722AB5">
        <w:t>creation of a standard whereby a physician must give the patient sufficient information so that an objective, reasonable person in the patient's position would be able to make an informed choice about a medical procedure</w:t>
      </w:r>
      <w:r w:rsidR="00722AB5">
        <w:t>. The court said</w:t>
      </w:r>
      <w:r w:rsidR="00934D9B">
        <w:t>:</w:t>
      </w:r>
    </w:p>
    <w:p w14:paraId="174BF5BF" w14:textId="581F6159" w:rsidR="00722AB5" w:rsidRDefault="00722AB5" w:rsidP="00722AB5"/>
    <w:p w14:paraId="2B956834" w14:textId="78C92AC9" w:rsidR="00722AB5" w:rsidRDefault="00722AB5" w:rsidP="00722AB5">
      <w:pPr>
        <w:rPr>
          <w:lang w:val="en-CA"/>
        </w:rPr>
      </w:pPr>
      <w:r w:rsidRPr="00722AB5">
        <w:rPr>
          <w:lang w:val="en-CA"/>
        </w:rPr>
        <w:t>“</w:t>
      </w:r>
      <w:proofErr w:type="gramStart"/>
      <w:r w:rsidRPr="00722AB5">
        <w:rPr>
          <w:i/>
          <w:iCs/>
          <w:lang w:val="en-CA"/>
        </w:rPr>
        <w:t>unless</w:t>
      </w:r>
      <w:proofErr w:type="gramEnd"/>
      <w:r w:rsidRPr="00722AB5">
        <w:rPr>
          <w:i/>
          <w:iCs/>
          <w:lang w:val="en-CA"/>
        </w:rPr>
        <w:t xml:space="preserve"> there has been misrepresentation or fraud to secure consent to the treatment, a failure to disclose the attendant risks, however serious, should go to negligence rather than to battery</w:t>
      </w:r>
      <w:r w:rsidRPr="00722AB5">
        <w:rPr>
          <w:lang w:val="en-CA"/>
        </w:rPr>
        <w:t>"</w:t>
      </w:r>
      <w:r>
        <w:rPr>
          <w:lang w:val="en-CA"/>
        </w:rPr>
        <w:t>.</w:t>
      </w:r>
    </w:p>
    <w:p w14:paraId="38DB41FD" w14:textId="77777777" w:rsidR="00804228" w:rsidRDefault="00804228" w:rsidP="00722AB5">
      <w:pPr>
        <w:rPr>
          <w:lang w:val="en-GB"/>
        </w:rPr>
      </w:pPr>
    </w:p>
    <w:p w14:paraId="3DF16E8F" w14:textId="704AF41B" w:rsidR="00F02808" w:rsidRPr="00F02808" w:rsidRDefault="00B7155E" w:rsidP="00722AB5">
      <w:pPr>
        <w:rPr>
          <w:b/>
          <w:bCs/>
          <w:u w:val="single"/>
          <w:lang w:val="en-GB"/>
        </w:rPr>
      </w:pPr>
      <w:r>
        <w:rPr>
          <w:b/>
          <w:bCs/>
          <w:u w:val="single"/>
          <w:lang w:val="en-GB"/>
        </w:rPr>
        <w:t>THE TEST FOR CONSENT IN ADULTS IN BC</w:t>
      </w:r>
    </w:p>
    <w:p w14:paraId="1593D337" w14:textId="5A38E3DF" w:rsidR="00F02808" w:rsidRDefault="00F02808" w:rsidP="00722AB5">
      <w:pPr>
        <w:rPr>
          <w:lang w:val="en-CA"/>
        </w:rPr>
      </w:pPr>
    </w:p>
    <w:p w14:paraId="0C7DAA0F" w14:textId="77777777" w:rsidR="0081220B" w:rsidRDefault="0081220B" w:rsidP="0081220B">
      <w:pPr>
        <w:rPr>
          <w:lang w:val="en-CA"/>
        </w:rPr>
      </w:pPr>
      <w:r>
        <w:rPr>
          <w:lang w:val="en-CA"/>
        </w:rPr>
        <w:t xml:space="preserve">The UK case of </w:t>
      </w:r>
      <w:r w:rsidRPr="00AB540B">
        <w:rPr>
          <w:i/>
          <w:iCs/>
          <w:lang w:val="en-CA"/>
        </w:rPr>
        <w:t>Re T</w:t>
      </w:r>
      <w:r>
        <w:rPr>
          <w:rStyle w:val="FootnoteReference"/>
          <w:lang w:val="en-CA"/>
        </w:rPr>
        <w:footnoteReference w:id="9"/>
      </w:r>
      <w:r>
        <w:rPr>
          <w:lang w:val="en-CA"/>
        </w:rPr>
        <w:t xml:space="preserve"> reminds us that:</w:t>
      </w:r>
    </w:p>
    <w:p w14:paraId="4BF1C782" w14:textId="77777777" w:rsidR="0081220B" w:rsidRDefault="0081220B" w:rsidP="0081220B">
      <w:pPr>
        <w:rPr>
          <w:lang w:val="en-CA"/>
        </w:rPr>
      </w:pPr>
    </w:p>
    <w:p w14:paraId="157F99B3" w14:textId="77777777" w:rsidR="0081220B" w:rsidRDefault="0081220B" w:rsidP="0081220B">
      <w:pPr>
        <w:rPr>
          <w:lang w:val="en-GB"/>
        </w:rPr>
      </w:pPr>
      <w:r>
        <w:rPr>
          <w:i/>
          <w:iCs/>
          <w:lang w:val="en-GB"/>
        </w:rPr>
        <w:t>“</w:t>
      </w:r>
      <w:r w:rsidRPr="00722AB5">
        <w:rPr>
          <w:i/>
          <w:iCs/>
          <w:lang w:val="en-GB"/>
        </w:rPr>
        <w:t>Prima facie</w:t>
      </w:r>
      <w:r w:rsidRPr="00722AB5">
        <w:rPr>
          <w:lang w:val="en-GB"/>
        </w:rPr>
        <w:t xml:space="preserve">, </w:t>
      </w:r>
      <w:r w:rsidRPr="00722AB5">
        <w:rPr>
          <w:i/>
          <w:iCs/>
          <w:lang w:val="en-GB"/>
        </w:rPr>
        <w:t>every adult has the right and capacity to decide whether or not he will accept medical treatment, even if a refusal may risk permanent injury to his health or even lead to premature death</w:t>
      </w:r>
      <w:r>
        <w:rPr>
          <w:lang w:val="en-GB"/>
        </w:rPr>
        <w:t>”.</w:t>
      </w:r>
    </w:p>
    <w:p w14:paraId="538ABCE6" w14:textId="77777777" w:rsidR="0081220B" w:rsidRPr="00722AB5" w:rsidRDefault="0081220B" w:rsidP="00722AB5">
      <w:pPr>
        <w:rPr>
          <w:lang w:val="en-CA"/>
        </w:rPr>
      </w:pPr>
    </w:p>
    <w:p w14:paraId="5D0F68AB" w14:textId="248353ED" w:rsidR="00F02808" w:rsidRDefault="00F02808">
      <w:r>
        <w:rPr>
          <w:lang w:val="en-CA"/>
        </w:rPr>
        <w:lastRenderedPageBreak/>
        <w:t xml:space="preserve">In BC, the test for consent is set out in the </w:t>
      </w:r>
      <w:r w:rsidRPr="00F02808">
        <w:t>Health Care (Consent) and Care Facility (Admission) Act [RSBC 1996] Chapter 181</w:t>
      </w:r>
      <w:r>
        <w:rPr>
          <w:rStyle w:val="FootnoteReference"/>
        </w:rPr>
        <w:footnoteReference w:id="10"/>
      </w:r>
      <w:r>
        <w:t>. In this piece of statute, consent rights are set out in s.4</w:t>
      </w:r>
      <w:r w:rsidR="00722C77">
        <w:t xml:space="preserve"> and the </w:t>
      </w:r>
      <w:r>
        <w:t>elements of consent can be found in s.6:</w:t>
      </w:r>
    </w:p>
    <w:p w14:paraId="3B047DDF" w14:textId="77777777" w:rsidR="00F02808" w:rsidRDefault="00F02808"/>
    <w:p w14:paraId="26CD373E" w14:textId="05D5071A" w:rsidR="00F02808" w:rsidRPr="00F02808" w:rsidRDefault="00F02808" w:rsidP="00F02808">
      <w:pPr>
        <w:rPr>
          <w:lang w:val="en-CA"/>
        </w:rPr>
      </w:pPr>
      <w:r w:rsidRPr="00F02808">
        <w:rPr>
          <w:b/>
          <w:bCs/>
          <w:lang w:val="en-CA"/>
        </w:rPr>
        <w:t>Elements of consent</w:t>
      </w:r>
    </w:p>
    <w:p w14:paraId="29CD1746" w14:textId="52523F45" w:rsidR="00F02808" w:rsidRDefault="00F02808" w:rsidP="00F02808">
      <w:pPr>
        <w:rPr>
          <w:lang w:val="en-CA"/>
        </w:rPr>
      </w:pPr>
      <w:r w:rsidRPr="00F02808">
        <w:rPr>
          <w:b/>
          <w:bCs/>
          <w:lang w:val="en-CA"/>
        </w:rPr>
        <w:t>6</w:t>
      </w:r>
      <w:r w:rsidRPr="00F02808">
        <w:rPr>
          <w:lang w:val="en-CA"/>
        </w:rPr>
        <w:t xml:space="preserve">   An </w:t>
      </w:r>
      <w:proofErr w:type="gramStart"/>
      <w:r w:rsidRPr="00F02808">
        <w:rPr>
          <w:lang w:val="en-CA"/>
        </w:rPr>
        <w:t>adult consents</w:t>
      </w:r>
      <w:proofErr w:type="gramEnd"/>
      <w:r w:rsidRPr="00F02808">
        <w:rPr>
          <w:lang w:val="en-CA"/>
        </w:rPr>
        <w:t xml:space="preserve"> to health care if</w:t>
      </w:r>
      <w:r>
        <w:rPr>
          <w:lang w:val="en-CA"/>
        </w:rPr>
        <w:t>:</w:t>
      </w:r>
    </w:p>
    <w:p w14:paraId="7BDB7364" w14:textId="77777777" w:rsidR="00F02808" w:rsidRPr="00F02808" w:rsidRDefault="00F02808" w:rsidP="00F02808">
      <w:pPr>
        <w:rPr>
          <w:lang w:val="en-CA"/>
        </w:rPr>
      </w:pPr>
    </w:p>
    <w:p w14:paraId="3C02926D" w14:textId="16FB5952" w:rsidR="00F02808" w:rsidRPr="00722C77" w:rsidRDefault="00F02808" w:rsidP="00722C77">
      <w:pPr>
        <w:pStyle w:val="ListParagraph"/>
        <w:numPr>
          <w:ilvl w:val="0"/>
          <w:numId w:val="9"/>
        </w:numPr>
        <w:rPr>
          <w:lang w:val="en-CA"/>
        </w:rPr>
      </w:pPr>
      <w:r w:rsidRPr="00722C77">
        <w:rPr>
          <w:lang w:val="en-CA"/>
        </w:rPr>
        <w:t>the consent relates to the proposed health care,</w:t>
      </w:r>
    </w:p>
    <w:p w14:paraId="2D0A5D05" w14:textId="77777777" w:rsidR="00F02808" w:rsidRPr="00F02808" w:rsidRDefault="00F02808" w:rsidP="00F02808">
      <w:pPr>
        <w:rPr>
          <w:lang w:val="en-CA"/>
        </w:rPr>
      </w:pPr>
    </w:p>
    <w:p w14:paraId="49B829B4" w14:textId="2472A031" w:rsidR="00F02808" w:rsidRPr="00722C77" w:rsidRDefault="00F02808" w:rsidP="00722C77">
      <w:pPr>
        <w:pStyle w:val="ListParagraph"/>
        <w:numPr>
          <w:ilvl w:val="0"/>
          <w:numId w:val="9"/>
        </w:numPr>
        <w:rPr>
          <w:lang w:val="en-CA"/>
        </w:rPr>
      </w:pPr>
      <w:r w:rsidRPr="00722C77">
        <w:rPr>
          <w:lang w:val="en-CA"/>
        </w:rPr>
        <w:t>the consent is given voluntarily,</w:t>
      </w:r>
    </w:p>
    <w:p w14:paraId="55A4F1BC" w14:textId="77777777" w:rsidR="00F02808" w:rsidRPr="00F02808" w:rsidRDefault="00F02808" w:rsidP="00F02808">
      <w:pPr>
        <w:rPr>
          <w:lang w:val="en-CA"/>
        </w:rPr>
      </w:pPr>
    </w:p>
    <w:p w14:paraId="3924AA85" w14:textId="4A99AB54" w:rsidR="00F02808" w:rsidRPr="00722C77" w:rsidRDefault="00F02808" w:rsidP="00722C77">
      <w:pPr>
        <w:pStyle w:val="ListParagraph"/>
        <w:numPr>
          <w:ilvl w:val="0"/>
          <w:numId w:val="9"/>
        </w:numPr>
        <w:rPr>
          <w:lang w:val="en-CA"/>
        </w:rPr>
      </w:pPr>
      <w:r w:rsidRPr="00722C77">
        <w:rPr>
          <w:lang w:val="en-CA"/>
        </w:rPr>
        <w:t>the consent is not obtained by fraud or misrepresentation,</w:t>
      </w:r>
    </w:p>
    <w:p w14:paraId="655F4AEC" w14:textId="77777777" w:rsidR="00F02808" w:rsidRPr="00F02808" w:rsidRDefault="00F02808" w:rsidP="00F02808">
      <w:pPr>
        <w:rPr>
          <w:lang w:val="en-CA"/>
        </w:rPr>
      </w:pPr>
    </w:p>
    <w:p w14:paraId="4EAE78C6" w14:textId="0CCFFAD0" w:rsidR="00F02808" w:rsidRPr="00722C77" w:rsidRDefault="00F02808" w:rsidP="00722C77">
      <w:pPr>
        <w:pStyle w:val="ListParagraph"/>
        <w:numPr>
          <w:ilvl w:val="0"/>
          <w:numId w:val="9"/>
        </w:numPr>
        <w:rPr>
          <w:lang w:val="en-CA"/>
        </w:rPr>
      </w:pPr>
      <w:r w:rsidRPr="00722C77">
        <w:rPr>
          <w:lang w:val="en-CA"/>
        </w:rPr>
        <w:t>the adult is capable of making a decision about whether to give or refuse consent to the proposed health care,</w:t>
      </w:r>
    </w:p>
    <w:p w14:paraId="5079B211" w14:textId="77777777" w:rsidR="00F02808" w:rsidRPr="00F02808" w:rsidRDefault="00F02808" w:rsidP="00F02808">
      <w:pPr>
        <w:rPr>
          <w:lang w:val="en-CA"/>
        </w:rPr>
      </w:pPr>
    </w:p>
    <w:p w14:paraId="58393AFE" w14:textId="2698F572" w:rsidR="00722C77" w:rsidRPr="00722C77" w:rsidRDefault="00F02808" w:rsidP="00722C77">
      <w:pPr>
        <w:pStyle w:val="ListParagraph"/>
        <w:numPr>
          <w:ilvl w:val="0"/>
          <w:numId w:val="9"/>
        </w:numPr>
        <w:rPr>
          <w:lang w:val="en-CA"/>
        </w:rPr>
      </w:pPr>
      <w:r w:rsidRPr="00722C77">
        <w:rPr>
          <w:lang w:val="en-CA"/>
        </w:rPr>
        <w:t>the health care provider gives the adult the information a reasonable person would</w:t>
      </w:r>
    </w:p>
    <w:p w14:paraId="165C1036" w14:textId="22E577FF" w:rsidR="00F02808" w:rsidRPr="00722C77" w:rsidRDefault="00F02808" w:rsidP="00722C77">
      <w:pPr>
        <w:ind w:left="360"/>
        <w:rPr>
          <w:lang w:val="en-CA"/>
        </w:rPr>
      </w:pPr>
      <w:r w:rsidRPr="00722C77">
        <w:rPr>
          <w:lang w:val="en-CA"/>
        </w:rPr>
        <w:t>require to understand the proposed health care and to make a decision, including information about</w:t>
      </w:r>
    </w:p>
    <w:p w14:paraId="64E697A5" w14:textId="77777777" w:rsidR="00F02808" w:rsidRPr="00F02808" w:rsidRDefault="00F02808" w:rsidP="00722C77">
      <w:pPr>
        <w:ind w:firstLine="360"/>
        <w:rPr>
          <w:lang w:val="en-CA"/>
        </w:rPr>
      </w:pPr>
      <w:r w:rsidRPr="00F02808">
        <w:rPr>
          <w:lang w:val="en-CA"/>
        </w:rPr>
        <w:t>(</w:t>
      </w:r>
      <w:proofErr w:type="spellStart"/>
      <w:r w:rsidRPr="00F02808">
        <w:rPr>
          <w:lang w:val="en-CA"/>
        </w:rPr>
        <w:t>i</w:t>
      </w:r>
      <w:proofErr w:type="spellEnd"/>
      <w:r w:rsidRPr="00F02808">
        <w:rPr>
          <w:lang w:val="en-CA"/>
        </w:rPr>
        <w:t>) the condition for which the health care is proposed,</w:t>
      </w:r>
    </w:p>
    <w:p w14:paraId="7D547F56" w14:textId="77777777" w:rsidR="00F02808" w:rsidRPr="00F02808" w:rsidRDefault="00F02808" w:rsidP="00722C77">
      <w:pPr>
        <w:ind w:firstLine="360"/>
        <w:rPr>
          <w:lang w:val="en-CA"/>
        </w:rPr>
      </w:pPr>
      <w:r w:rsidRPr="00F02808">
        <w:rPr>
          <w:lang w:val="en-CA"/>
        </w:rPr>
        <w:t>(ii) the nature of the proposed health care,</w:t>
      </w:r>
    </w:p>
    <w:p w14:paraId="54EA99D1" w14:textId="0880DAB0" w:rsidR="00F02808" w:rsidRDefault="00F02808" w:rsidP="00722C77">
      <w:pPr>
        <w:ind w:left="360"/>
        <w:rPr>
          <w:lang w:val="en-CA"/>
        </w:rPr>
      </w:pPr>
      <w:r w:rsidRPr="00F02808">
        <w:rPr>
          <w:lang w:val="en-CA"/>
        </w:rPr>
        <w:t>(iii) the risks and benefits of the proposed health care that a reasonable person would expect to be told about, and</w:t>
      </w:r>
      <w:r>
        <w:rPr>
          <w:lang w:val="en-CA"/>
        </w:rPr>
        <w:t xml:space="preserve"> </w:t>
      </w:r>
      <w:r w:rsidRPr="00F02808">
        <w:rPr>
          <w:lang w:val="en-CA"/>
        </w:rPr>
        <w:t>(iv) alternative courses of health care, and</w:t>
      </w:r>
    </w:p>
    <w:p w14:paraId="0F94F18F" w14:textId="77777777" w:rsidR="00F02808" w:rsidRPr="00F02808" w:rsidRDefault="00F02808" w:rsidP="00F02808">
      <w:pPr>
        <w:rPr>
          <w:lang w:val="en-CA"/>
        </w:rPr>
      </w:pPr>
    </w:p>
    <w:p w14:paraId="471BC230" w14:textId="77777777" w:rsidR="00F02808" w:rsidRPr="00F02808" w:rsidRDefault="00F02808" w:rsidP="00722C77">
      <w:pPr>
        <w:ind w:left="360"/>
        <w:rPr>
          <w:lang w:val="en-CA"/>
        </w:rPr>
      </w:pPr>
      <w:r w:rsidRPr="00F02808">
        <w:rPr>
          <w:lang w:val="en-CA"/>
        </w:rPr>
        <w:t>(f)the adult has an opportunity to ask questions and receive answers about the proposed health care.</w:t>
      </w:r>
    </w:p>
    <w:p w14:paraId="7DF35378" w14:textId="164BA750" w:rsidR="00323A60" w:rsidRDefault="00F02808" w:rsidP="00323A60">
      <w:r>
        <w:t xml:space="preserve"> </w:t>
      </w:r>
    </w:p>
    <w:p w14:paraId="6F5E7683" w14:textId="54771ADB" w:rsidR="00D1719E" w:rsidRPr="00D1719E" w:rsidRDefault="00D1719E" w:rsidP="00323A60">
      <w:pPr>
        <w:rPr>
          <w:b/>
          <w:bCs/>
          <w:u w:val="single"/>
        </w:rPr>
      </w:pPr>
      <w:r>
        <w:rPr>
          <w:b/>
          <w:bCs/>
          <w:u w:val="single"/>
        </w:rPr>
        <w:t>CONSENT IN CHILDREN AND ADOLESCENTS</w:t>
      </w:r>
    </w:p>
    <w:p w14:paraId="48119DEC" w14:textId="66E452B4" w:rsidR="00D1719E" w:rsidRDefault="00D1719E" w:rsidP="00323A60"/>
    <w:p w14:paraId="6045B9C7" w14:textId="0EE68888" w:rsidR="00D1719E" w:rsidRDefault="00D1719E" w:rsidP="00323A60">
      <w:r>
        <w:t xml:space="preserve">The assessment of mental capacity in children and adolescents adds developmental complexities. Children and adolescents develop physically, cognitively, emotionally, interpersonally and morally, and this occurs at different rates in different children and adolescents. All </w:t>
      </w:r>
      <w:r w:rsidR="00722C77">
        <w:t xml:space="preserve">of </w:t>
      </w:r>
      <w:r>
        <w:t xml:space="preserve">this must be considered in ascertaining whether a child or adolescent can consent to a medical intervention. </w:t>
      </w:r>
    </w:p>
    <w:p w14:paraId="45CE5970" w14:textId="184A06BD" w:rsidR="00D1719E" w:rsidRDefault="00D1719E" w:rsidP="00323A60"/>
    <w:p w14:paraId="6AF14D76" w14:textId="256D01E1" w:rsidR="00D1719E" w:rsidRDefault="00D1719E" w:rsidP="00323A60">
      <w:r>
        <w:t xml:space="preserve">The important case of </w:t>
      </w:r>
      <w:r w:rsidRPr="0081220B">
        <w:rPr>
          <w:i/>
          <w:iCs/>
        </w:rPr>
        <w:t>Gillick</w:t>
      </w:r>
      <w:r w:rsidR="00B7155E">
        <w:rPr>
          <w:rStyle w:val="FootnoteReference"/>
        </w:rPr>
        <w:footnoteReference w:id="11"/>
      </w:r>
      <w:r>
        <w:t xml:space="preserve"> in UK identifies the challenges in establishing whether an adolescent can give informed consent to a health intervention, and </w:t>
      </w:r>
      <w:r w:rsidR="00B7155E">
        <w:t xml:space="preserve">gave rise to the concept of Gillick competence for children under 16. </w:t>
      </w:r>
    </w:p>
    <w:p w14:paraId="7CD1392B" w14:textId="018B2E52" w:rsidR="00D1719E" w:rsidRDefault="00D1719E" w:rsidP="00323A60"/>
    <w:p w14:paraId="537CB177" w14:textId="06C6228A" w:rsidR="00D1719E" w:rsidRDefault="00D1719E" w:rsidP="00323A60">
      <w:r>
        <w:t>The BC Infants Act</w:t>
      </w:r>
      <w:r>
        <w:rPr>
          <w:rStyle w:val="FootnoteReference"/>
        </w:rPr>
        <w:footnoteReference w:id="12"/>
      </w:r>
      <w:r>
        <w:t xml:space="preserve"> contains the test for assessment of capacity in youth at s17:</w:t>
      </w:r>
    </w:p>
    <w:p w14:paraId="018A6A15" w14:textId="77777777" w:rsidR="00D1719E" w:rsidRPr="00D1719E" w:rsidRDefault="00D1719E" w:rsidP="00D1719E">
      <w:pPr>
        <w:shd w:val="clear" w:color="auto" w:fill="FFFFFF"/>
        <w:spacing w:before="360" w:line="288" w:lineRule="atLeast"/>
        <w:outlineLvl w:val="3"/>
        <w:rPr>
          <w:rFonts w:eastAsia="Times New Roman" w:cstheme="minorHAnsi"/>
          <w:b/>
          <w:bCs/>
          <w:color w:val="000000"/>
          <w:lang w:val="en-CA"/>
        </w:rPr>
      </w:pPr>
      <w:r w:rsidRPr="00D1719E">
        <w:rPr>
          <w:rFonts w:eastAsia="Times New Roman" w:cstheme="minorHAnsi"/>
          <w:b/>
          <w:bCs/>
          <w:color w:val="000000"/>
          <w:lang w:val="en-CA"/>
        </w:rPr>
        <w:lastRenderedPageBreak/>
        <w:t>Consent of infant to medical treatment</w:t>
      </w:r>
    </w:p>
    <w:p w14:paraId="0ECF7CAD" w14:textId="77777777" w:rsidR="00D1719E" w:rsidRDefault="00D1719E" w:rsidP="00D1719E">
      <w:pPr>
        <w:shd w:val="clear" w:color="auto" w:fill="FFFFFF"/>
        <w:spacing w:line="360" w:lineRule="atLeast"/>
        <w:rPr>
          <w:rFonts w:ascii="BCSans" w:eastAsia="Times New Roman" w:hAnsi="BCSans" w:cs="Times New Roman"/>
          <w:b/>
          <w:bCs/>
          <w:color w:val="000000"/>
          <w:sz w:val="21"/>
          <w:szCs w:val="21"/>
          <w:lang w:val="en-CA"/>
        </w:rPr>
      </w:pPr>
      <w:bookmarkStart w:id="0" w:name="d2e639"/>
      <w:bookmarkEnd w:id="0"/>
    </w:p>
    <w:p w14:paraId="78859DAB" w14:textId="67FA77B6" w:rsidR="00D1719E" w:rsidRPr="00D1719E" w:rsidRDefault="00D1719E" w:rsidP="00D1719E">
      <w:pPr>
        <w:shd w:val="clear" w:color="auto" w:fill="FFFFFF"/>
        <w:spacing w:line="360" w:lineRule="atLeast"/>
        <w:rPr>
          <w:rFonts w:eastAsia="Times New Roman" w:cstheme="minorHAnsi"/>
          <w:color w:val="000000"/>
          <w:lang w:val="en-CA"/>
        </w:rPr>
      </w:pPr>
      <w:r w:rsidRPr="00D1719E">
        <w:rPr>
          <w:rFonts w:eastAsia="Times New Roman" w:cstheme="minorHAnsi"/>
          <w:color w:val="000000"/>
          <w:lang w:val="en-CA"/>
        </w:rPr>
        <w:t>(3)A request for or consent, agreement or acquiescence to health care by an infant does not constitute consent to the health care for the purposes of subsection (2) unless the health care provider providing the health care</w:t>
      </w:r>
    </w:p>
    <w:p w14:paraId="2566B1B9" w14:textId="77777777" w:rsidR="00D1719E" w:rsidRDefault="00D1719E" w:rsidP="00D1719E">
      <w:pPr>
        <w:shd w:val="clear" w:color="auto" w:fill="FFFFFF"/>
        <w:spacing w:line="360" w:lineRule="atLeast"/>
        <w:rPr>
          <w:rFonts w:eastAsia="Times New Roman" w:cstheme="minorHAnsi"/>
          <w:color w:val="000000"/>
          <w:lang w:val="en-CA"/>
        </w:rPr>
      </w:pPr>
      <w:bookmarkStart w:id="1" w:name="d2e648"/>
      <w:bookmarkEnd w:id="1"/>
    </w:p>
    <w:p w14:paraId="38FEA6ED" w14:textId="1D10B7C5" w:rsidR="00D1719E" w:rsidRPr="00D1719E" w:rsidRDefault="00D1719E" w:rsidP="00D1719E">
      <w:pPr>
        <w:shd w:val="clear" w:color="auto" w:fill="FFFFFF"/>
        <w:spacing w:line="360" w:lineRule="atLeast"/>
        <w:rPr>
          <w:rFonts w:eastAsia="Times New Roman" w:cstheme="minorHAnsi"/>
          <w:color w:val="000000"/>
          <w:lang w:val="en-CA"/>
        </w:rPr>
      </w:pPr>
      <w:r w:rsidRPr="00D1719E">
        <w:rPr>
          <w:rFonts w:eastAsia="Times New Roman" w:cstheme="minorHAnsi"/>
          <w:color w:val="000000"/>
          <w:lang w:val="en-CA"/>
        </w:rPr>
        <w:t>(a)has explained to the infant and has been satisfied that the infant understands the nature and consequences and the reasonably foreseeable benefits and risks of the health care, and</w:t>
      </w:r>
    </w:p>
    <w:p w14:paraId="1C56AB0A" w14:textId="48EEC07B" w:rsidR="00D1719E" w:rsidRPr="00D1719E" w:rsidRDefault="00D1719E" w:rsidP="00D1719E">
      <w:pPr>
        <w:shd w:val="clear" w:color="auto" w:fill="FFFFFF"/>
        <w:spacing w:line="360" w:lineRule="atLeast"/>
        <w:rPr>
          <w:rFonts w:eastAsia="Times New Roman" w:cstheme="minorHAnsi"/>
          <w:color w:val="000000"/>
          <w:lang w:val="en-CA"/>
        </w:rPr>
      </w:pPr>
      <w:bookmarkStart w:id="2" w:name="d2e657"/>
      <w:bookmarkEnd w:id="2"/>
      <w:r w:rsidRPr="00D1719E">
        <w:rPr>
          <w:rFonts w:eastAsia="Times New Roman" w:cstheme="minorHAnsi"/>
          <w:color w:val="000000"/>
          <w:lang w:val="en-CA"/>
        </w:rPr>
        <w:t>(b)</w:t>
      </w:r>
      <w:r>
        <w:rPr>
          <w:rFonts w:eastAsia="Times New Roman" w:cstheme="minorHAnsi"/>
          <w:color w:val="000000"/>
          <w:lang w:val="en-CA"/>
        </w:rPr>
        <w:t xml:space="preserve"> </w:t>
      </w:r>
      <w:r w:rsidRPr="00D1719E">
        <w:rPr>
          <w:rFonts w:eastAsia="Times New Roman" w:cstheme="minorHAnsi"/>
          <w:color w:val="000000"/>
          <w:lang w:val="en-CA"/>
        </w:rPr>
        <w:t>has made reasonable efforts to determine and has concluded that the health care is in the infant's best interests.</w:t>
      </w:r>
    </w:p>
    <w:p w14:paraId="2E4A87ED" w14:textId="77777777" w:rsidR="00D1719E" w:rsidRDefault="00D1719E" w:rsidP="00323A60"/>
    <w:p w14:paraId="4866C769" w14:textId="121C70ED" w:rsidR="00323A60" w:rsidRPr="00323A60" w:rsidRDefault="00B7155E" w:rsidP="00323A60">
      <w:pPr>
        <w:rPr>
          <w:b/>
          <w:bCs/>
          <w:u w:val="single"/>
        </w:rPr>
      </w:pPr>
      <w:r>
        <w:rPr>
          <w:b/>
          <w:bCs/>
          <w:u w:val="single"/>
        </w:rPr>
        <w:t xml:space="preserve">MEDICAL </w:t>
      </w:r>
      <w:r w:rsidR="0081220B">
        <w:rPr>
          <w:b/>
          <w:bCs/>
          <w:u w:val="single"/>
        </w:rPr>
        <w:t>NEGLIGENCE / MALPRACTICE</w:t>
      </w:r>
      <w:r>
        <w:rPr>
          <w:b/>
          <w:bCs/>
          <w:u w:val="single"/>
        </w:rPr>
        <w:t xml:space="preserve"> AND CONSENT</w:t>
      </w:r>
    </w:p>
    <w:p w14:paraId="491D960C" w14:textId="77777777" w:rsidR="00323A60" w:rsidRDefault="00323A60" w:rsidP="00323A60"/>
    <w:p w14:paraId="5BB1E825" w14:textId="1130B0CC" w:rsidR="00323A60" w:rsidRDefault="00323A60" w:rsidP="00323A60">
      <w:r>
        <w:t>Whether sufficient information is provided when obtaining consent for a medical intervention goes to the</w:t>
      </w:r>
      <w:r w:rsidRPr="00323A60">
        <w:t xml:space="preserve"> duty of care</w:t>
      </w:r>
      <w:r>
        <w:t xml:space="preserve"> of the physician. A tort of medical negligence or malpractice often comes about as a result of relevant information not being provided to the patient by the physician. The components of a tort of medical negligence are:</w:t>
      </w:r>
    </w:p>
    <w:p w14:paraId="1E6F46F2" w14:textId="2E01761A" w:rsidR="00323A60" w:rsidRDefault="00323A60" w:rsidP="00323A60"/>
    <w:p w14:paraId="091C822A" w14:textId="3DBD4676" w:rsidR="00323A60" w:rsidRDefault="00323A60" w:rsidP="00323A60">
      <w:pPr>
        <w:pStyle w:val="ListParagraph"/>
        <w:numPr>
          <w:ilvl w:val="0"/>
          <w:numId w:val="8"/>
        </w:numPr>
      </w:pPr>
      <w:r>
        <w:t xml:space="preserve">The physician has to </w:t>
      </w:r>
      <w:r w:rsidR="00D1719E">
        <w:t>owe</w:t>
      </w:r>
      <w:r>
        <w:t xml:space="preserve"> a duty of care to the patient</w:t>
      </w:r>
    </w:p>
    <w:p w14:paraId="0B8348C6" w14:textId="0E57E5E4" w:rsidR="00323A60" w:rsidRDefault="00323A60" w:rsidP="00323A60">
      <w:pPr>
        <w:pStyle w:val="ListParagraph"/>
        <w:numPr>
          <w:ilvl w:val="0"/>
          <w:numId w:val="8"/>
        </w:numPr>
      </w:pPr>
      <w:r>
        <w:t>Breach of duty of care, which be the result of acts of commission or omission</w:t>
      </w:r>
    </w:p>
    <w:p w14:paraId="5D1B21BC" w14:textId="21E29E45" w:rsidR="00323A60" w:rsidRDefault="00323A60" w:rsidP="00323A60">
      <w:pPr>
        <w:pStyle w:val="ListParagraph"/>
        <w:numPr>
          <w:ilvl w:val="0"/>
          <w:numId w:val="8"/>
        </w:numPr>
      </w:pPr>
      <w:r>
        <w:t>Damages which accrue from the breach of duty of care</w:t>
      </w:r>
    </w:p>
    <w:p w14:paraId="0DDE85E6" w14:textId="1355E9B7" w:rsidR="00323A60" w:rsidRDefault="00323A60" w:rsidP="00323A60">
      <w:pPr>
        <w:pStyle w:val="ListParagraph"/>
        <w:numPr>
          <w:ilvl w:val="0"/>
          <w:numId w:val="8"/>
        </w:numPr>
      </w:pPr>
      <w:r>
        <w:t>Proximity</w:t>
      </w:r>
    </w:p>
    <w:p w14:paraId="61F3BB83" w14:textId="5E6D8CF8" w:rsidR="00323A60" w:rsidRDefault="00323A60" w:rsidP="00323A60"/>
    <w:p w14:paraId="2BC5F404" w14:textId="6824F79B" w:rsidR="00323A60" w:rsidRPr="00323A60" w:rsidRDefault="00323A60" w:rsidP="00323A60">
      <w:pPr>
        <w:rPr>
          <w:lang w:val="en-CA"/>
        </w:rPr>
      </w:pPr>
      <w:r>
        <w:t>The test usually applied by the courts is the ‘but for’ test. But for the act or omission, would this outcome have occurred anyway?</w:t>
      </w:r>
      <w:r w:rsidR="0081220B">
        <w:t xml:space="preserve"> </w:t>
      </w:r>
    </w:p>
    <w:p w14:paraId="3F346411" w14:textId="77777777" w:rsidR="00F02808" w:rsidRPr="00371BD2" w:rsidRDefault="00F02808">
      <w:pPr>
        <w:rPr>
          <w:lang w:val="en-CA"/>
        </w:rPr>
      </w:pPr>
    </w:p>
    <w:sectPr w:rsidR="00F02808" w:rsidRPr="00371BD2" w:rsidSect="00D43F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97B2" w14:textId="77777777" w:rsidR="008B6785" w:rsidRDefault="008B6785" w:rsidP="001C74ED">
      <w:r>
        <w:separator/>
      </w:r>
    </w:p>
  </w:endnote>
  <w:endnote w:type="continuationSeparator" w:id="0">
    <w:p w14:paraId="2CB1F8EA" w14:textId="77777777" w:rsidR="008B6785" w:rsidRDefault="008B6785" w:rsidP="001C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C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97A5" w14:textId="77777777" w:rsidR="008B6785" w:rsidRDefault="008B6785" w:rsidP="001C74ED">
      <w:r>
        <w:separator/>
      </w:r>
    </w:p>
  </w:footnote>
  <w:footnote w:type="continuationSeparator" w:id="0">
    <w:p w14:paraId="64CD3356" w14:textId="77777777" w:rsidR="008B6785" w:rsidRDefault="008B6785" w:rsidP="001C74ED">
      <w:r>
        <w:continuationSeparator/>
      </w:r>
    </w:p>
  </w:footnote>
  <w:footnote w:id="1">
    <w:p w14:paraId="7AFFE97D" w14:textId="5AD267DB" w:rsidR="001C74ED" w:rsidRPr="001C74ED" w:rsidRDefault="001C74ED">
      <w:pPr>
        <w:pStyle w:val="FootnoteText"/>
        <w:rPr>
          <w:lang w:val="en-CA"/>
        </w:rPr>
      </w:pPr>
      <w:r>
        <w:rPr>
          <w:rStyle w:val="FootnoteReference"/>
        </w:rPr>
        <w:footnoteRef/>
      </w:r>
      <w:r>
        <w:t xml:space="preserve"> </w:t>
      </w:r>
      <w:r w:rsidRPr="001C74ED">
        <w:rPr>
          <w:i/>
          <w:iCs/>
          <w:lang w:val="en-CA"/>
        </w:rPr>
        <w:t>Pratt v Davis</w:t>
      </w:r>
      <w:r>
        <w:rPr>
          <w:lang w:val="en-CA"/>
        </w:rPr>
        <w:t xml:space="preserve"> (1906) 224 Ill. 300 </w:t>
      </w:r>
    </w:p>
  </w:footnote>
  <w:footnote w:id="2">
    <w:p w14:paraId="3FA22150" w14:textId="5A09A4C6" w:rsidR="008A5118" w:rsidRPr="008A5118" w:rsidRDefault="008A5118">
      <w:pPr>
        <w:pStyle w:val="FootnoteText"/>
        <w:rPr>
          <w:lang w:val="en-CA"/>
        </w:rPr>
      </w:pPr>
      <w:r>
        <w:rPr>
          <w:rStyle w:val="FootnoteReference"/>
        </w:rPr>
        <w:footnoteRef/>
      </w:r>
      <w:r>
        <w:t xml:space="preserve"> </w:t>
      </w:r>
      <w:r w:rsidRPr="001C74ED">
        <w:rPr>
          <w:i/>
          <w:iCs/>
          <w:lang w:val="en-CA"/>
        </w:rPr>
        <w:t>Mohr v Williams</w:t>
      </w:r>
      <w:r>
        <w:rPr>
          <w:lang w:val="en-CA"/>
        </w:rPr>
        <w:t xml:space="preserve"> (1905) 95 Minn. 261</w:t>
      </w:r>
    </w:p>
  </w:footnote>
  <w:footnote w:id="3">
    <w:p w14:paraId="6AD08853" w14:textId="694BC658" w:rsidR="008A5118" w:rsidRPr="008A5118" w:rsidRDefault="008A5118">
      <w:pPr>
        <w:pStyle w:val="FootnoteText"/>
        <w:rPr>
          <w:lang w:val="en-CA"/>
        </w:rPr>
      </w:pPr>
      <w:r>
        <w:rPr>
          <w:rStyle w:val="FootnoteReference"/>
        </w:rPr>
        <w:footnoteRef/>
      </w:r>
      <w:r>
        <w:t xml:space="preserve"> </w:t>
      </w:r>
      <w:proofErr w:type="spellStart"/>
      <w:r w:rsidRPr="001C74ED">
        <w:rPr>
          <w:i/>
          <w:iCs/>
          <w:lang w:val="en-CA"/>
        </w:rPr>
        <w:t>Rolater</w:t>
      </w:r>
      <w:proofErr w:type="spellEnd"/>
      <w:r w:rsidRPr="001C74ED">
        <w:rPr>
          <w:i/>
          <w:iCs/>
          <w:lang w:val="en-CA"/>
        </w:rPr>
        <w:t xml:space="preserve"> v Strain</w:t>
      </w:r>
      <w:r>
        <w:rPr>
          <w:lang w:val="en-CA"/>
        </w:rPr>
        <w:t xml:space="preserve"> (1913) Okla. 572</w:t>
      </w:r>
    </w:p>
  </w:footnote>
  <w:footnote w:id="4">
    <w:p w14:paraId="52FB7393" w14:textId="1F725C5B" w:rsidR="008A5118" w:rsidRPr="008A5118" w:rsidRDefault="008A5118">
      <w:pPr>
        <w:pStyle w:val="FootnoteText"/>
        <w:rPr>
          <w:lang w:val="en-CA"/>
        </w:rPr>
      </w:pPr>
      <w:r>
        <w:rPr>
          <w:rStyle w:val="FootnoteReference"/>
        </w:rPr>
        <w:footnoteRef/>
      </w:r>
      <w:r>
        <w:t xml:space="preserve"> </w:t>
      </w:r>
      <w:proofErr w:type="spellStart"/>
      <w:r w:rsidRPr="001C74ED">
        <w:rPr>
          <w:i/>
          <w:iCs/>
          <w:lang w:val="en-CA"/>
        </w:rPr>
        <w:t>Schloendorff</w:t>
      </w:r>
      <w:proofErr w:type="spellEnd"/>
      <w:r w:rsidRPr="001C74ED">
        <w:rPr>
          <w:i/>
          <w:iCs/>
          <w:lang w:val="en-CA"/>
        </w:rPr>
        <w:t xml:space="preserve"> v Society of New York Hospitals</w:t>
      </w:r>
      <w:r>
        <w:rPr>
          <w:lang w:val="en-CA"/>
        </w:rPr>
        <w:t xml:space="preserve"> (1914) NY 125</w:t>
      </w:r>
    </w:p>
  </w:footnote>
  <w:footnote w:id="5">
    <w:p w14:paraId="607DC201" w14:textId="1B75089E" w:rsidR="00371BD2" w:rsidRPr="00371BD2" w:rsidRDefault="00371BD2">
      <w:pPr>
        <w:pStyle w:val="FootnoteText"/>
        <w:rPr>
          <w:lang w:val="en-CA"/>
        </w:rPr>
      </w:pPr>
      <w:r>
        <w:rPr>
          <w:rStyle w:val="FootnoteReference"/>
        </w:rPr>
        <w:footnoteRef/>
      </w:r>
      <w:r>
        <w:t xml:space="preserve"> </w:t>
      </w:r>
      <w:proofErr w:type="spellStart"/>
      <w:r w:rsidRPr="00371BD2">
        <w:rPr>
          <w:i/>
          <w:iCs/>
          <w:lang w:val="en-CA"/>
        </w:rPr>
        <w:t>Salgo</w:t>
      </w:r>
      <w:proofErr w:type="spellEnd"/>
      <w:r w:rsidRPr="00371BD2">
        <w:rPr>
          <w:i/>
          <w:iCs/>
          <w:lang w:val="en-CA"/>
        </w:rPr>
        <w:t xml:space="preserve"> v Leland Stanford Jr. Board of Trustees</w:t>
      </w:r>
      <w:r>
        <w:rPr>
          <w:lang w:val="en-CA"/>
        </w:rPr>
        <w:t xml:space="preserve"> (1957) 154 Cal. App. 2d 560</w:t>
      </w:r>
    </w:p>
  </w:footnote>
  <w:footnote w:id="6">
    <w:p w14:paraId="0789E481" w14:textId="294C77AA" w:rsidR="00371BD2" w:rsidRPr="00371BD2" w:rsidRDefault="00371BD2">
      <w:pPr>
        <w:pStyle w:val="FootnoteText"/>
        <w:rPr>
          <w:lang w:val="en-CA"/>
        </w:rPr>
      </w:pPr>
      <w:r>
        <w:rPr>
          <w:rStyle w:val="FootnoteReference"/>
        </w:rPr>
        <w:footnoteRef/>
      </w:r>
      <w:r>
        <w:t xml:space="preserve"> </w:t>
      </w:r>
      <w:r w:rsidRPr="00371BD2">
        <w:rPr>
          <w:i/>
          <w:iCs/>
          <w:lang w:val="en-CA"/>
        </w:rPr>
        <w:t>Canterbury v Spence</w:t>
      </w:r>
      <w:r>
        <w:rPr>
          <w:lang w:val="en-CA"/>
        </w:rPr>
        <w:t xml:space="preserve"> (1972) 464 E2d 772</w:t>
      </w:r>
    </w:p>
  </w:footnote>
  <w:footnote w:id="7">
    <w:p w14:paraId="7081F1F3" w14:textId="34C8564C" w:rsidR="00722AB5" w:rsidRPr="00722AB5" w:rsidRDefault="00722AB5">
      <w:pPr>
        <w:pStyle w:val="FootnoteText"/>
        <w:rPr>
          <w:lang w:val="en-CA"/>
        </w:rPr>
      </w:pPr>
      <w:r>
        <w:rPr>
          <w:rStyle w:val="FootnoteReference"/>
        </w:rPr>
        <w:footnoteRef/>
      </w:r>
      <w:r>
        <w:t xml:space="preserve"> </w:t>
      </w:r>
      <w:proofErr w:type="spellStart"/>
      <w:r w:rsidRPr="00722AB5">
        <w:rPr>
          <w:i/>
          <w:iCs/>
          <w:lang w:val="en-CA"/>
        </w:rPr>
        <w:t>Hopp</w:t>
      </w:r>
      <w:proofErr w:type="spellEnd"/>
      <w:r w:rsidRPr="00722AB5">
        <w:rPr>
          <w:i/>
          <w:iCs/>
          <w:lang w:val="en-CA"/>
        </w:rPr>
        <w:t xml:space="preserve"> v </w:t>
      </w:r>
      <w:proofErr w:type="spellStart"/>
      <w:r w:rsidRPr="00722AB5">
        <w:rPr>
          <w:i/>
          <w:iCs/>
          <w:lang w:val="en-CA"/>
        </w:rPr>
        <w:t>Lepp</w:t>
      </w:r>
      <w:proofErr w:type="spellEnd"/>
      <w:r>
        <w:rPr>
          <w:lang w:val="en-CA"/>
        </w:rPr>
        <w:t xml:space="preserve"> [1980] 2 SCR 92</w:t>
      </w:r>
    </w:p>
  </w:footnote>
  <w:footnote w:id="8">
    <w:p w14:paraId="2CFEA8D1" w14:textId="1AA49163" w:rsidR="00722AB5" w:rsidRPr="00722AB5" w:rsidRDefault="00722AB5">
      <w:pPr>
        <w:pStyle w:val="FootnoteText"/>
        <w:rPr>
          <w:lang w:val="en-CA"/>
        </w:rPr>
      </w:pPr>
      <w:r>
        <w:rPr>
          <w:rStyle w:val="FootnoteReference"/>
        </w:rPr>
        <w:footnoteRef/>
      </w:r>
      <w:r>
        <w:t xml:space="preserve"> </w:t>
      </w:r>
      <w:proofErr w:type="spellStart"/>
      <w:r w:rsidR="00AB540B" w:rsidRPr="00AB540B">
        <w:rPr>
          <w:i/>
          <w:iCs/>
        </w:rPr>
        <w:t>Reibl</w:t>
      </w:r>
      <w:proofErr w:type="spellEnd"/>
      <w:r w:rsidR="00AB540B" w:rsidRPr="00AB540B">
        <w:rPr>
          <w:i/>
          <w:iCs/>
        </w:rPr>
        <w:t xml:space="preserve"> v Hughes</w:t>
      </w:r>
      <w:r w:rsidR="00AB540B">
        <w:t xml:space="preserve"> [1980] SCR 880</w:t>
      </w:r>
    </w:p>
  </w:footnote>
  <w:footnote w:id="9">
    <w:p w14:paraId="5B3828D7" w14:textId="77777777" w:rsidR="0081220B" w:rsidRPr="00AB540B" w:rsidRDefault="0081220B" w:rsidP="0081220B">
      <w:pPr>
        <w:pStyle w:val="FootnoteText"/>
        <w:rPr>
          <w:lang w:val="en-CA"/>
        </w:rPr>
      </w:pPr>
      <w:r>
        <w:rPr>
          <w:rStyle w:val="FootnoteReference"/>
        </w:rPr>
        <w:footnoteRef/>
      </w:r>
      <w:r>
        <w:t xml:space="preserve"> </w:t>
      </w:r>
      <w:r w:rsidRPr="00AB540B">
        <w:rPr>
          <w:i/>
          <w:iCs/>
          <w:lang w:val="en-CA"/>
        </w:rPr>
        <w:t>Re T (Adult: Refusal of Medical Treatment)</w:t>
      </w:r>
      <w:r>
        <w:rPr>
          <w:lang w:val="en-CA"/>
        </w:rPr>
        <w:t xml:space="preserve"> [1992] EWCA Civ. 18</w:t>
      </w:r>
    </w:p>
  </w:footnote>
  <w:footnote w:id="10">
    <w:p w14:paraId="58E25644" w14:textId="14839E85" w:rsidR="00F02808" w:rsidRPr="00F02808" w:rsidRDefault="00F02808">
      <w:pPr>
        <w:pStyle w:val="FootnoteText"/>
        <w:rPr>
          <w:lang w:val="en-CA"/>
        </w:rPr>
      </w:pPr>
      <w:r>
        <w:rPr>
          <w:rStyle w:val="FootnoteReference"/>
        </w:rPr>
        <w:footnoteRef/>
      </w:r>
      <w:r>
        <w:t xml:space="preserve"> </w:t>
      </w:r>
      <w:hyperlink r:id="rId1" w:history="1">
        <w:r w:rsidRPr="00F02808">
          <w:rPr>
            <w:rStyle w:val="Hyperlink"/>
            <w:color w:val="000000" w:themeColor="text1"/>
            <w:lang w:val="en-CA"/>
          </w:rPr>
          <w:t>http://www.bclaws.ca/civix/document/id/complete/statreg/96288_01</w:t>
        </w:r>
      </w:hyperlink>
    </w:p>
  </w:footnote>
  <w:footnote w:id="11">
    <w:p w14:paraId="61EDE9EE" w14:textId="6F4DD5CD" w:rsidR="00B7155E" w:rsidRPr="00B7155E" w:rsidRDefault="00B7155E">
      <w:pPr>
        <w:pStyle w:val="FootnoteText"/>
        <w:rPr>
          <w:lang w:val="en-CA"/>
        </w:rPr>
      </w:pPr>
      <w:r>
        <w:rPr>
          <w:rStyle w:val="FootnoteReference"/>
        </w:rPr>
        <w:footnoteRef/>
      </w:r>
      <w:r>
        <w:t xml:space="preserve"> </w:t>
      </w:r>
      <w:r>
        <w:rPr>
          <w:lang w:val="en-CA"/>
        </w:rPr>
        <w:t xml:space="preserve">Gillick v West </w:t>
      </w:r>
      <w:proofErr w:type="spellStart"/>
      <w:r>
        <w:rPr>
          <w:lang w:val="en-CA"/>
        </w:rPr>
        <w:t>Nofolk</w:t>
      </w:r>
      <w:proofErr w:type="spellEnd"/>
      <w:r>
        <w:rPr>
          <w:lang w:val="en-CA"/>
        </w:rPr>
        <w:t xml:space="preserve"> and Wisbech AHA [1985] UKHL 7</w:t>
      </w:r>
    </w:p>
  </w:footnote>
  <w:footnote w:id="12">
    <w:p w14:paraId="3C8C813A" w14:textId="2020CA05" w:rsidR="00D1719E" w:rsidRPr="00D1719E" w:rsidRDefault="00D1719E">
      <w:pPr>
        <w:pStyle w:val="FootnoteText"/>
        <w:rPr>
          <w:lang w:val="en-CA"/>
        </w:rPr>
      </w:pPr>
      <w:r>
        <w:rPr>
          <w:rStyle w:val="FootnoteReference"/>
        </w:rPr>
        <w:footnoteRef/>
      </w:r>
      <w:r>
        <w:t xml:space="preserve"> </w:t>
      </w:r>
      <w:r>
        <w:rPr>
          <w:lang w:val="en-CA"/>
        </w:rPr>
        <w:t>Infants Act [RSBC 1996] Chapter 223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08C"/>
    <w:multiLevelType w:val="hybridMultilevel"/>
    <w:tmpl w:val="0CBCD314"/>
    <w:lvl w:ilvl="0" w:tplc="4DB6C9DE">
      <w:start w:val="1"/>
      <w:numFmt w:val="bullet"/>
      <w:lvlText w:val="•"/>
      <w:lvlJc w:val="left"/>
      <w:pPr>
        <w:tabs>
          <w:tab w:val="num" w:pos="720"/>
        </w:tabs>
        <w:ind w:left="720" w:hanging="360"/>
      </w:pPr>
      <w:rPr>
        <w:rFonts w:ascii="Arial" w:hAnsi="Arial" w:hint="default"/>
      </w:rPr>
    </w:lvl>
    <w:lvl w:ilvl="1" w:tplc="E6D06D1A" w:tentative="1">
      <w:start w:val="1"/>
      <w:numFmt w:val="bullet"/>
      <w:lvlText w:val="•"/>
      <w:lvlJc w:val="left"/>
      <w:pPr>
        <w:tabs>
          <w:tab w:val="num" w:pos="1440"/>
        </w:tabs>
        <w:ind w:left="1440" w:hanging="360"/>
      </w:pPr>
      <w:rPr>
        <w:rFonts w:ascii="Arial" w:hAnsi="Arial" w:hint="default"/>
      </w:rPr>
    </w:lvl>
    <w:lvl w:ilvl="2" w:tplc="E17CE9AE" w:tentative="1">
      <w:start w:val="1"/>
      <w:numFmt w:val="bullet"/>
      <w:lvlText w:val="•"/>
      <w:lvlJc w:val="left"/>
      <w:pPr>
        <w:tabs>
          <w:tab w:val="num" w:pos="2160"/>
        </w:tabs>
        <w:ind w:left="2160" w:hanging="360"/>
      </w:pPr>
      <w:rPr>
        <w:rFonts w:ascii="Arial" w:hAnsi="Arial" w:hint="default"/>
      </w:rPr>
    </w:lvl>
    <w:lvl w:ilvl="3" w:tplc="4DBA3640" w:tentative="1">
      <w:start w:val="1"/>
      <w:numFmt w:val="bullet"/>
      <w:lvlText w:val="•"/>
      <w:lvlJc w:val="left"/>
      <w:pPr>
        <w:tabs>
          <w:tab w:val="num" w:pos="2880"/>
        </w:tabs>
        <w:ind w:left="2880" w:hanging="360"/>
      </w:pPr>
      <w:rPr>
        <w:rFonts w:ascii="Arial" w:hAnsi="Arial" w:hint="default"/>
      </w:rPr>
    </w:lvl>
    <w:lvl w:ilvl="4" w:tplc="9C9A250C" w:tentative="1">
      <w:start w:val="1"/>
      <w:numFmt w:val="bullet"/>
      <w:lvlText w:val="•"/>
      <w:lvlJc w:val="left"/>
      <w:pPr>
        <w:tabs>
          <w:tab w:val="num" w:pos="3600"/>
        </w:tabs>
        <w:ind w:left="3600" w:hanging="360"/>
      </w:pPr>
      <w:rPr>
        <w:rFonts w:ascii="Arial" w:hAnsi="Arial" w:hint="default"/>
      </w:rPr>
    </w:lvl>
    <w:lvl w:ilvl="5" w:tplc="9A48376E" w:tentative="1">
      <w:start w:val="1"/>
      <w:numFmt w:val="bullet"/>
      <w:lvlText w:val="•"/>
      <w:lvlJc w:val="left"/>
      <w:pPr>
        <w:tabs>
          <w:tab w:val="num" w:pos="4320"/>
        </w:tabs>
        <w:ind w:left="4320" w:hanging="360"/>
      </w:pPr>
      <w:rPr>
        <w:rFonts w:ascii="Arial" w:hAnsi="Arial" w:hint="default"/>
      </w:rPr>
    </w:lvl>
    <w:lvl w:ilvl="6" w:tplc="F6C8FF34" w:tentative="1">
      <w:start w:val="1"/>
      <w:numFmt w:val="bullet"/>
      <w:lvlText w:val="•"/>
      <w:lvlJc w:val="left"/>
      <w:pPr>
        <w:tabs>
          <w:tab w:val="num" w:pos="5040"/>
        </w:tabs>
        <w:ind w:left="5040" w:hanging="360"/>
      </w:pPr>
      <w:rPr>
        <w:rFonts w:ascii="Arial" w:hAnsi="Arial" w:hint="default"/>
      </w:rPr>
    </w:lvl>
    <w:lvl w:ilvl="7" w:tplc="2438F16E" w:tentative="1">
      <w:start w:val="1"/>
      <w:numFmt w:val="bullet"/>
      <w:lvlText w:val="•"/>
      <w:lvlJc w:val="left"/>
      <w:pPr>
        <w:tabs>
          <w:tab w:val="num" w:pos="5760"/>
        </w:tabs>
        <w:ind w:left="5760" w:hanging="360"/>
      </w:pPr>
      <w:rPr>
        <w:rFonts w:ascii="Arial" w:hAnsi="Arial" w:hint="default"/>
      </w:rPr>
    </w:lvl>
    <w:lvl w:ilvl="8" w:tplc="9312B2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2B7C4F"/>
    <w:multiLevelType w:val="hybridMultilevel"/>
    <w:tmpl w:val="3A064D4A"/>
    <w:lvl w:ilvl="0" w:tplc="1F22D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A1EC3"/>
    <w:multiLevelType w:val="hybridMultilevel"/>
    <w:tmpl w:val="A87ADEBE"/>
    <w:lvl w:ilvl="0" w:tplc="B7E68004">
      <w:start w:val="1"/>
      <w:numFmt w:val="bullet"/>
      <w:lvlText w:val="•"/>
      <w:lvlJc w:val="left"/>
      <w:pPr>
        <w:tabs>
          <w:tab w:val="num" w:pos="720"/>
        </w:tabs>
        <w:ind w:left="720" w:hanging="360"/>
      </w:pPr>
      <w:rPr>
        <w:rFonts w:ascii="Arial" w:hAnsi="Arial" w:hint="default"/>
      </w:rPr>
    </w:lvl>
    <w:lvl w:ilvl="1" w:tplc="A6F0E05A" w:tentative="1">
      <w:start w:val="1"/>
      <w:numFmt w:val="bullet"/>
      <w:lvlText w:val="•"/>
      <w:lvlJc w:val="left"/>
      <w:pPr>
        <w:tabs>
          <w:tab w:val="num" w:pos="1440"/>
        </w:tabs>
        <w:ind w:left="1440" w:hanging="360"/>
      </w:pPr>
      <w:rPr>
        <w:rFonts w:ascii="Arial" w:hAnsi="Arial" w:hint="default"/>
      </w:rPr>
    </w:lvl>
    <w:lvl w:ilvl="2" w:tplc="828CC126" w:tentative="1">
      <w:start w:val="1"/>
      <w:numFmt w:val="bullet"/>
      <w:lvlText w:val="•"/>
      <w:lvlJc w:val="left"/>
      <w:pPr>
        <w:tabs>
          <w:tab w:val="num" w:pos="2160"/>
        </w:tabs>
        <w:ind w:left="2160" w:hanging="360"/>
      </w:pPr>
      <w:rPr>
        <w:rFonts w:ascii="Arial" w:hAnsi="Arial" w:hint="default"/>
      </w:rPr>
    </w:lvl>
    <w:lvl w:ilvl="3" w:tplc="5E181584" w:tentative="1">
      <w:start w:val="1"/>
      <w:numFmt w:val="bullet"/>
      <w:lvlText w:val="•"/>
      <w:lvlJc w:val="left"/>
      <w:pPr>
        <w:tabs>
          <w:tab w:val="num" w:pos="2880"/>
        </w:tabs>
        <w:ind w:left="2880" w:hanging="360"/>
      </w:pPr>
      <w:rPr>
        <w:rFonts w:ascii="Arial" w:hAnsi="Arial" w:hint="default"/>
      </w:rPr>
    </w:lvl>
    <w:lvl w:ilvl="4" w:tplc="C876E47E" w:tentative="1">
      <w:start w:val="1"/>
      <w:numFmt w:val="bullet"/>
      <w:lvlText w:val="•"/>
      <w:lvlJc w:val="left"/>
      <w:pPr>
        <w:tabs>
          <w:tab w:val="num" w:pos="3600"/>
        </w:tabs>
        <w:ind w:left="3600" w:hanging="360"/>
      </w:pPr>
      <w:rPr>
        <w:rFonts w:ascii="Arial" w:hAnsi="Arial" w:hint="default"/>
      </w:rPr>
    </w:lvl>
    <w:lvl w:ilvl="5" w:tplc="4B4ABD26" w:tentative="1">
      <w:start w:val="1"/>
      <w:numFmt w:val="bullet"/>
      <w:lvlText w:val="•"/>
      <w:lvlJc w:val="left"/>
      <w:pPr>
        <w:tabs>
          <w:tab w:val="num" w:pos="4320"/>
        </w:tabs>
        <w:ind w:left="4320" w:hanging="360"/>
      </w:pPr>
      <w:rPr>
        <w:rFonts w:ascii="Arial" w:hAnsi="Arial" w:hint="default"/>
      </w:rPr>
    </w:lvl>
    <w:lvl w:ilvl="6" w:tplc="E19475FC" w:tentative="1">
      <w:start w:val="1"/>
      <w:numFmt w:val="bullet"/>
      <w:lvlText w:val="•"/>
      <w:lvlJc w:val="left"/>
      <w:pPr>
        <w:tabs>
          <w:tab w:val="num" w:pos="5040"/>
        </w:tabs>
        <w:ind w:left="5040" w:hanging="360"/>
      </w:pPr>
      <w:rPr>
        <w:rFonts w:ascii="Arial" w:hAnsi="Arial" w:hint="default"/>
      </w:rPr>
    </w:lvl>
    <w:lvl w:ilvl="7" w:tplc="AFFE4828" w:tentative="1">
      <w:start w:val="1"/>
      <w:numFmt w:val="bullet"/>
      <w:lvlText w:val="•"/>
      <w:lvlJc w:val="left"/>
      <w:pPr>
        <w:tabs>
          <w:tab w:val="num" w:pos="5760"/>
        </w:tabs>
        <w:ind w:left="5760" w:hanging="360"/>
      </w:pPr>
      <w:rPr>
        <w:rFonts w:ascii="Arial" w:hAnsi="Arial" w:hint="default"/>
      </w:rPr>
    </w:lvl>
    <w:lvl w:ilvl="8" w:tplc="BE6A9F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E62201"/>
    <w:multiLevelType w:val="hybridMultilevel"/>
    <w:tmpl w:val="C4AA228E"/>
    <w:lvl w:ilvl="0" w:tplc="2DD83F10">
      <w:start w:val="1"/>
      <w:numFmt w:val="lowerRoman"/>
      <w:lvlText w:val="(%1)"/>
      <w:lvlJc w:val="left"/>
      <w:pPr>
        <w:tabs>
          <w:tab w:val="num" w:pos="720"/>
        </w:tabs>
        <w:ind w:left="720" w:hanging="360"/>
      </w:pPr>
      <w:rPr>
        <w:rFonts w:asciiTheme="minorHAnsi" w:eastAsiaTheme="minorHAnsi" w:hAnsiTheme="minorHAnsi" w:cstheme="minorBidi"/>
      </w:rPr>
    </w:lvl>
    <w:lvl w:ilvl="1" w:tplc="B714EDB2" w:tentative="1">
      <w:start w:val="1"/>
      <w:numFmt w:val="bullet"/>
      <w:lvlText w:val="•"/>
      <w:lvlJc w:val="left"/>
      <w:pPr>
        <w:tabs>
          <w:tab w:val="num" w:pos="1440"/>
        </w:tabs>
        <w:ind w:left="1440" w:hanging="360"/>
      </w:pPr>
      <w:rPr>
        <w:rFonts w:ascii="Arial" w:hAnsi="Arial" w:hint="default"/>
      </w:rPr>
    </w:lvl>
    <w:lvl w:ilvl="2" w:tplc="72D28198" w:tentative="1">
      <w:start w:val="1"/>
      <w:numFmt w:val="bullet"/>
      <w:lvlText w:val="•"/>
      <w:lvlJc w:val="left"/>
      <w:pPr>
        <w:tabs>
          <w:tab w:val="num" w:pos="2160"/>
        </w:tabs>
        <w:ind w:left="2160" w:hanging="360"/>
      </w:pPr>
      <w:rPr>
        <w:rFonts w:ascii="Arial" w:hAnsi="Arial" w:hint="default"/>
      </w:rPr>
    </w:lvl>
    <w:lvl w:ilvl="3" w:tplc="219A8112" w:tentative="1">
      <w:start w:val="1"/>
      <w:numFmt w:val="bullet"/>
      <w:lvlText w:val="•"/>
      <w:lvlJc w:val="left"/>
      <w:pPr>
        <w:tabs>
          <w:tab w:val="num" w:pos="2880"/>
        </w:tabs>
        <w:ind w:left="2880" w:hanging="360"/>
      </w:pPr>
      <w:rPr>
        <w:rFonts w:ascii="Arial" w:hAnsi="Arial" w:hint="default"/>
      </w:rPr>
    </w:lvl>
    <w:lvl w:ilvl="4" w:tplc="0E9E3356" w:tentative="1">
      <w:start w:val="1"/>
      <w:numFmt w:val="bullet"/>
      <w:lvlText w:val="•"/>
      <w:lvlJc w:val="left"/>
      <w:pPr>
        <w:tabs>
          <w:tab w:val="num" w:pos="3600"/>
        </w:tabs>
        <w:ind w:left="3600" w:hanging="360"/>
      </w:pPr>
      <w:rPr>
        <w:rFonts w:ascii="Arial" w:hAnsi="Arial" w:hint="default"/>
      </w:rPr>
    </w:lvl>
    <w:lvl w:ilvl="5" w:tplc="F9ACE942" w:tentative="1">
      <w:start w:val="1"/>
      <w:numFmt w:val="bullet"/>
      <w:lvlText w:val="•"/>
      <w:lvlJc w:val="left"/>
      <w:pPr>
        <w:tabs>
          <w:tab w:val="num" w:pos="4320"/>
        </w:tabs>
        <w:ind w:left="4320" w:hanging="360"/>
      </w:pPr>
      <w:rPr>
        <w:rFonts w:ascii="Arial" w:hAnsi="Arial" w:hint="default"/>
      </w:rPr>
    </w:lvl>
    <w:lvl w:ilvl="6" w:tplc="0CF8D454" w:tentative="1">
      <w:start w:val="1"/>
      <w:numFmt w:val="bullet"/>
      <w:lvlText w:val="•"/>
      <w:lvlJc w:val="left"/>
      <w:pPr>
        <w:tabs>
          <w:tab w:val="num" w:pos="5040"/>
        </w:tabs>
        <w:ind w:left="5040" w:hanging="360"/>
      </w:pPr>
      <w:rPr>
        <w:rFonts w:ascii="Arial" w:hAnsi="Arial" w:hint="default"/>
      </w:rPr>
    </w:lvl>
    <w:lvl w:ilvl="7" w:tplc="4EF689C6" w:tentative="1">
      <w:start w:val="1"/>
      <w:numFmt w:val="bullet"/>
      <w:lvlText w:val="•"/>
      <w:lvlJc w:val="left"/>
      <w:pPr>
        <w:tabs>
          <w:tab w:val="num" w:pos="5760"/>
        </w:tabs>
        <w:ind w:left="5760" w:hanging="360"/>
      </w:pPr>
      <w:rPr>
        <w:rFonts w:ascii="Arial" w:hAnsi="Arial" w:hint="default"/>
      </w:rPr>
    </w:lvl>
    <w:lvl w:ilvl="8" w:tplc="F10CD8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693FA9"/>
    <w:multiLevelType w:val="hybridMultilevel"/>
    <w:tmpl w:val="E4F071A4"/>
    <w:lvl w:ilvl="0" w:tplc="25021568">
      <w:start w:val="1"/>
      <w:numFmt w:val="bullet"/>
      <w:lvlText w:val="•"/>
      <w:lvlJc w:val="left"/>
      <w:pPr>
        <w:tabs>
          <w:tab w:val="num" w:pos="720"/>
        </w:tabs>
        <w:ind w:left="720" w:hanging="360"/>
      </w:pPr>
      <w:rPr>
        <w:rFonts w:ascii="Arial" w:hAnsi="Arial" w:hint="default"/>
      </w:rPr>
    </w:lvl>
    <w:lvl w:ilvl="1" w:tplc="BBC62820" w:tentative="1">
      <w:start w:val="1"/>
      <w:numFmt w:val="bullet"/>
      <w:lvlText w:val="•"/>
      <w:lvlJc w:val="left"/>
      <w:pPr>
        <w:tabs>
          <w:tab w:val="num" w:pos="1440"/>
        </w:tabs>
        <w:ind w:left="1440" w:hanging="360"/>
      </w:pPr>
      <w:rPr>
        <w:rFonts w:ascii="Arial" w:hAnsi="Arial" w:hint="default"/>
      </w:rPr>
    </w:lvl>
    <w:lvl w:ilvl="2" w:tplc="A0F68580" w:tentative="1">
      <w:start w:val="1"/>
      <w:numFmt w:val="bullet"/>
      <w:lvlText w:val="•"/>
      <w:lvlJc w:val="left"/>
      <w:pPr>
        <w:tabs>
          <w:tab w:val="num" w:pos="2160"/>
        </w:tabs>
        <w:ind w:left="2160" w:hanging="360"/>
      </w:pPr>
      <w:rPr>
        <w:rFonts w:ascii="Arial" w:hAnsi="Arial" w:hint="default"/>
      </w:rPr>
    </w:lvl>
    <w:lvl w:ilvl="3" w:tplc="0E648502" w:tentative="1">
      <w:start w:val="1"/>
      <w:numFmt w:val="bullet"/>
      <w:lvlText w:val="•"/>
      <w:lvlJc w:val="left"/>
      <w:pPr>
        <w:tabs>
          <w:tab w:val="num" w:pos="2880"/>
        </w:tabs>
        <w:ind w:left="2880" w:hanging="360"/>
      </w:pPr>
      <w:rPr>
        <w:rFonts w:ascii="Arial" w:hAnsi="Arial" w:hint="default"/>
      </w:rPr>
    </w:lvl>
    <w:lvl w:ilvl="4" w:tplc="FF0AB0CE" w:tentative="1">
      <w:start w:val="1"/>
      <w:numFmt w:val="bullet"/>
      <w:lvlText w:val="•"/>
      <w:lvlJc w:val="left"/>
      <w:pPr>
        <w:tabs>
          <w:tab w:val="num" w:pos="3600"/>
        </w:tabs>
        <w:ind w:left="3600" w:hanging="360"/>
      </w:pPr>
      <w:rPr>
        <w:rFonts w:ascii="Arial" w:hAnsi="Arial" w:hint="default"/>
      </w:rPr>
    </w:lvl>
    <w:lvl w:ilvl="5" w:tplc="5D46D160" w:tentative="1">
      <w:start w:val="1"/>
      <w:numFmt w:val="bullet"/>
      <w:lvlText w:val="•"/>
      <w:lvlJc w:val="left"/>
      <w:pPr>
        <w:tabs>
          <w:tab w:val="num" w:pos="4320"/>
        </w:tabs>
        <w:ind w:left="4320" w:hanging="360"/>
      </w:pPr>
      <w:rPr>
        <w:rFonts w:ascii="Arial" w:hAnsi="Arial" w:hint="default"/>
      </w:rPr>
    </w:lvl>
    <w:lvl w:ilvl="6" w:tplc="EF7855AC" w:tentative="1">
      <w:start w:val="1"/>
      <w:numFmt w:val="bullet"/>
      <w:lvlText w:val="•"/>
      <w:lvlJc w:val="left"/>
      <w:pPr>
        <w:tabs>
          <w:tab w:val="num" w:pos="5040"/>
        </w:tabs>
        <w:ind w:left="5040" w:hanging="360"/>
      </w:pPr>
      <w:rPr>
        <w:rFonts w:ascii="Arial" w:hAnsi="Arial" w:hint="default"/>
      </w:rPr>
    </w:lvl>
    <w:lvl w:ilvl="7" w:tplc="24A8BFD2" w:tentative="1">
      <w:start w:val="1"/>
      <w:numFmt w:val="bullet"/>
      <w:lvlText w:val="•"/>
      <w:lvlJc w:val="left"/>
      <w:pPr>
        <w:tabs>
          <w:tab w:val="num" w:pos="5760"/>
        </w:tabs>
        <w:ind w:left="5760" w:hanging="360"/>
      </w:pPr>
      <w:rPr>
        <w:rFonts w:ascii="Arial" w:hAnsi="Arial" w:hint="default"/>
      </w:rPr>
    </w:lvl>
    <w:lvl w:ilvl="8" w:tplc="8C0050F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D166F04"/>
    <w:multiLevelType w:val="hybridMultilevel"/>
    <w:tmpl w:val="535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D7047"/>
    <w:multiLevelType w:val="hybridMultilevel"/>
    <w:tmpl w:val="6C742CDA"/>
    <w:lvl w:ilvl="0" w:tplc="06100026">
      <w:start w:val="1"/>
      <w:numFmt w:val="bullet"/>
      <w:lvlText w:val="•"/>
      <w:lvlJc w:val="left"/>
      <w:pPr>
        <w:tabs>
          <w:tab w:val="num" w:pos="720"/>
        </w:tabs>
        <w:ind w:left="720" w:hanging="360"/>
      </w:pPr>
      <w:rPr>
        <w:rFonts w:ascii="Arial" w:hAnsi="Arial" w:hint="default"/>
      </w:rPr>
    </w:lvl>
    <w:lvl w:ilvl="1" w:tplc="E9C270E2" w:tentative="1">
      <w:start w:val="1"/>
      <w:numFmt w:val="bullet"/>
      <w:lvlText w:val="•"/>
      <w:lvlJc w:val="left"/>
      <w:pPr>
        <w:tabs>
          <w:tab w:val="num" w:pos="1440"/>
        </w:tabs>
        <w:ind w:left="1440" w:hanging="360"/>
      </w:pPr>
      <w:rPr>
        <w:rFonts w:ascii="Arial" w:hAnsi="Arial" w:hint="default"/>
      </w:rPr>
    </w:lvl>
    <w:lvl w:ilvl="2" w:tplc="28EE9E76" w:tentative="1">
      <w:start w:val="1"/>
      <w:numFmt w:val="bullet"/>
      <w:lvlText w:val="•"/>
      <w:lvlJc w:val="left"/>
      <w:pPr>
        <w:tabs>
          <w:tab w:val="num" w:pos="2160"/>
        </w:tabs>
        <w:ind w:left="2160" w:hanging="360"/>
      </w:pPr>
      <w:rPr>
        <w:rFonts w:ascii="Arial" w:hAnsi="Arial" w:hint="default"/>
      </w:rPr>
    </w:lvl>
    <w:lvl w:ilvl="3" w:tplc="8F74C908" w:tentative="1">
      <w:start w:val="1"/>
      <w:numFmt w:val="bullet"/>
      <w:lvlText w:val="•"/>
      <w:lvlJc w:val="left"/>
      <w:pPr>
        <w:tabs>
          <w:tab w:val="num" w:pos="2880"/>
        </w:tabs>
        <w:ind w:left="2880" w:hanging="360"/>
      </w:pPr>
      <w:rPr>
        <w:rFonts w:ascii="Arial" w:hAnsi="Arial" w:hint="default"/>
      </w:rPr>
    </w:lvl>
    <w:lvl w:ilvl="4" w:tplc="EC6C6DD4" w:tentative="1">
      <w:start w:val="1"/>
      <w:numFmt w:val="bullet"/>
      <w:lvlText w:val="•"/>
      <w:lvlJc w:val="left"/>
      <w:pPr>
        <w:tabs>
          <w:tab w:val="num" w:pos="3600"/>
        </w:tabs>
        <w:ind w:left="3600" w:hanging="360"/>
      </w:pPr>
      <w:rPr>
        <w:rFonts w:ascii="Arial" w:hAnsi="Arial" w:hint="default"/>
      </w:rPr>
    </w:lvl>
    <w:lvl w:ilvl="5" w:tplc="D2660BA4" w:tentative="1">
      <w:start w:val="1"/>
      <w:numFmt w:val="bullet"/>
      <w:lvlText w:val="•"/>
      <w:lvlJc w:val="left"/>
      <w:pPr>
        <w:tabs>
          <w:tab w:val="num" w:pos="4320"/>
        </w:tabs>
        <w:ind w:left="4320" w:hanging="360"/>
      </w:pPr>
      <w:rPr>
        <w:rFonts w:ascii="Arial" w:hAnsi="Arial" w:hint="default"/>
      </w:rPr>
    </w:lvl>
    <w:lvl w:ilvl="6" w:tplc="EDB256AC" w:tentative="1">
      <w:start w:val="1"/>
      <w:numFmt w:val="bullet"/>
      <w:lvlText w:val="•"/>
      <w:lvlJc w:val="left"/>
      <w:pPr>
        <w:tabs>
          <w:tab w:val="num" w:pos="5040"/>
        </w:tabs>
        <w:ind w:left="5040" w:hanging="360"/>
      </w:pPr>
      <w:rPr>
        <w:rFonts w:ascii="Arial" w:hAnsi="Arial" w:hint="default"/>
      </w:rPr>
    </w:lvl>
    <w:lvl w:ilvl="7" w:tplc="64EE9C6A" w:tentative="1">
      <w:start w:val="1"/>
      <w:numFmt w:val="bullet"/>
      <w:lvlText w:val="•"/>
      <w:lvlJc w:val="left"/>
      <w:pPr>
        <w:tabs>
          <w:tab w:val="num" w:pos="5760"/>
        </w:tabs>
        <w:ind w:left="5760" w:hanging="360"/>
      </w:pPr>
      <w:rPr>
        <w:rFonts w:ascii="Arial" w:hAnsi="Arial" w:hint="default"/>
      </w:rPr>
    </w:lvl>
    <w:lvl w:ilvl="8" w:tplc="0846C6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A49280D"/>
    <w:multiLevelType w:val="hybridMultilevel"/>
    <w:tmpl w:val="755A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B30DA"/>
    <w:multiLevelType w:val="hybridMultilevel"/>
    <w:tmpl w:val="B2E6BE6A"/>
    <w:lvl w:ilvl="0" w:tplc="9BC20374">
      <w:start w:val="1"/>
      <w:numFmt w:val="bullet"/>
      <w:lvlText w:val="•"/>
      <w:lvlJc w:val="left"/>
      <w:pPr>
        <w:tabs>
          <w:tab w:val="num" w:pos="720"/>
        </w:tabs>
        <w:ind w:left="720" w:hanging="360"/>
      </w:pPr>
      <w:rPr>
        <w:rFonts w:ascii="Arial" w:hAnsi="Arial" w:hint="default"/>
      </w:rPr>
    </w:lvl>
    <w:lvl w:ilvl="1" w:tplc="BFE662BA" w:tentative="1">
      <w:start w:val="1"/>
      <w:numFmt w:val="bullet"/>
      <w:lvlText w:val="•"/>
      <w:lvlJc w:val="left"/>
      <w:pPr>
        <w:tabs>
          <w:tab w:val="num" w:pos="1440"/>
        </w:tabs>
        <w:ind w:left="1440" w:hanging="360"/>
      </w:pPr>
      <w:rPr>
        <w:rFonts w:ascii="Arial" w:hAnsi="Arial" w:hint="default"/>
      </w:rPr>
    </w:lvl>
    <w:lvl w:ilvl="2" w:tplc="D1C6408C" w:tentative="1">
      <w:start w:val="1"/>
      <w:numFmt w:val="bullet"/>
      <w:lvlText w:val="•"/>
      <w:lvlJc w:val="left"/>
      <w:pPr>
        <w:tabs>
          <w:tab w:val="num" w:pos="2160"/>
        </w:tabs>
        <w:ind w:left="2160" w:hanging="360"/>
      </w:pPr>
      <w:rPr>
        <w:rFonts w:ascii="Arial" w:hAnsi="Arial" w:hint="default"/>
      </w:rPr>
    </w:lvl>
    <w:lvl w:ilvl="3" w:tplc="BAF6044E" w:tentative="1">
      <w:start w:val="1"/>
      <w:numFmt w:val="bullet"/>
      <w:lvlText w:val="•"/>
      <w:lvlJc w:val="left"/>
      <w:pPr>
        <w:tabs>
          <w:tab w:val="num" w:pos="2880"/>
        </w:tabs>
        <w:ind w:left="2880" w:hanging="360"/>
      </w:pPr>
      <w:rPr>
        <w:rFonts w:ascii="Arial" w:hAnsi="Arial" w:hint="default"/>
      </w:rPr>
    </w:lvl>
    <w:lvl w:ilvl="4" w:tplc="7F0426F0" w:tentative="1">
      <w:start w:val="1"/>
      <w:numFmt w:val="bullet"/>
      <w:lvlText w:val="•"/>
      <w:lvlJc w:val="left"/>
      <w:pPr>
        <w:tabs>
          <w:tab w:val="num" w:pos="3600"/>
        </w:tabs>
        <w:ind w:left="3600" w:hanging="360"/>
      </w:pPr>
      <w:rPr>
        <w:rFonts w:ascii="Arial" w:hAnsi="Arial" w:hint="default"/>
      </w:rPr>
    </w:lvl>
    <w:lvl w:ilvl="5" w:tplc="30F2F920" w:tentative="1">
      <w:start w:val="1"/>
      <w:numFmt w:val="bullet"/>
      <w:lvlText w:val="•"/>
      <w:lvlJc w:val="left"/>
      <w:pPr>
        <w:tabs>
          <w:tab w:val="num" w:pos="4320"/>
        </w:tabs>
        <w:ind w:left="4320" w:hanging="360"/>
      </w:pPr>
      <w:rPr>
        <w:rFonts w:ascii="Arial" w:hAnsi="Arial" w:hint="default"/>
      </w:rPr>
    </w:lvl>
    <w:lvl w:ilvl="6" w:tplc="077ED538" w:tentative="1">
      <w:start w:val="1"/>
      <w:numFmt w:val="bullet"/>
      <w:lvlText w:val="•"/>
      <w:lvlJc w:val="left"/>
      <w:pPr>
        <w:tabs>
          <w:tab w:val="num" w:pos="5040"/>
        </w:tabs>
        <w:ind w:left="5040" w:hanging="360"/>
      </w:pPr>
      <w:rPr>
        <w:rFonts w:ascii="Arial" w:hAnsi="Arial" w:hint="default"/>
      </w:rPr>
    </w:lvl>
    <w:lvl w:ilvl="7" w:tplc="5E3479A4" w:tentative="1">
      <w:start w:val="1"/>
      <w:numFmt w:val="bullet"/>
      <w:lvlText w:val="•"/>
      <w:lvlJc w:val="left"/>
      <w:pPr>
        <w:tabs>
          <w:tab w:val="num" w:pos="5760"/>
        </w:tabs>
        <w:ind w:left="5760" w:hanging="360"/>
      </w:pPr>
      <w:rPr>
        <w:rFonts w:ascii="Arial" w:hAnsi="Arial" w:hint="default"/>
      </w:rPr>
    </w:lvl>
    <w:lvl w:ilvl="8" w:tplc="10E8DA62" w:tentative="1">
      <w:start w:val="1"/>
      <w:numFmt w:val="bullet"/>
      <w:lvlText w:val="•"/>
      <w:lvlJc w:val="left"/>
      <w:pPr>
        <w:tabs>
          <w:tab w:val="num" w:pos="6480"/>
        </w:tabs>
        <w:ind w:left="6480" w:hanging="360"/>
      </w:pPr>
      <w:rPr>
        <w:rFonts w:ascii="Arial" w:hAnsi="Arial" w:hint="default"/>
      </w:rPr>
    </w:lvl>
  </w:abstractNum>
  <w:num w:numId="1" w16cid:durableId="499851183">
    <w:abstractNumId w:val="8"/>
  </w:num>
  <w:num w:numId="2" w16cid:durableId="196966316">
    <w:abstractNumId w:val="4"/>
  </w:num>
  <w:num w:numId="3" w16cid:durableId="556629789">
    <w:abstractNumId w:val="5"/>
  </w:num>
  <w:num w:numId="4" w16cid:durableId="1595358207">
    <w:abstractNumId w:val="6"/>
  </w:num>
  <w:num w:numId="5" w16cid:durableId="2118669671">
    <w:abstractNumId w:val="2"/>
  </w:num>
  <w:num w:numId="6" w16cid:durableId="969555495">
    <w:abstractNumId w:val="3"/>
  </w:num>
  <w:num w:numId="7" w16cid:durableId="1450735484">
    <w:abstractNumId w:val="0"/>
  </w:num>
  <w:num w:numId="8" w16cid:durableId="1704403379">
    <w:abstractNumId w:val="7"/>
  </w:num>
  <w:num w:numId="9" w16cid:durableId="776674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1F"/>
    <w:rsid w:val="0005381F"/>
    <w:rsid w:val="001C74ED"/>
    <w:rsid w:val="00323A60"/>
    <w:rsid w:val="00371BD2"/>
    <w:rsid w:val="00611B51"/>
    <w:rsid w:val="00705402"/>
    <w:rsid w:val="00722AB5"/>
    <w:rsid w:val="00722C77"/>
    <w:rsid w:val="00736EE1"/>
    <w:rsid w:val="00804228"/>
    <w:rsid w:val="0081220B"/>
    <w:rsid w:val="008A5118"/>
    <w:rsid w:val="008B6785"/>
    <w:rsid w:val="00934D9B"/>
    <w:rsid w:val="00AB540B"/>
    <w:rsid w:val="00B7155E"/>
    <w:rsid w:val="00CF58A7"/>
    <w:rsid w:val="00D1719E"/>
    <w:rsid w:val="00D43F28"/>
    <w:rsid w:val="00F0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DC393"/>
  <w14:defaultImageDpi w14:val="32767"/>
  <w15:chartTrackingRefBased/>
  <w15:docId w15:val="{9E59F35B-11BB-A047-A12D-98780B8E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D1719E"/>
    <w:pPr>
      <w:spacing w:before="100" w:beforeAutospacing="1" w:after="100" w:afterAutospacing="1"/>
      <w:outlineLvl w:val="3"/>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74ED"/>
    <w:rPr>
      <w:sz w:val="20"/>
      <w:szCs w:val="20"/>
    </w:rPr>
  </w:style>
  <w:style w:type="character" w:customStyle="1" w:styleId="FootnoteTextChar">
    <w:name w:val="Footnote Text Char"/>
    <w:basedOn w:val="DefaultParagraphFont"/>
    <w:link w:val="FootnoteText"/>
    <w:uiPriority w:val="99"/>
    <w:semiHidden/>
    <w:rsid w:val="001C74ED"/>
    <w:rPr>
      <w:sz w:val="20"/>
      <w:szCs w:val="20"/>
    </w:rPr>
  </w:style>
  <w:style w:type="character" w:styleId="FootnoteReference">
    <w:name w:val="footnote reference"/>
    <w:basedOn w:val="DefaultParagraphFont"/>
    <w:uiPriority w:val="99"/>
    <w:semiHidden/>
    <w:unhideWhenUsed/>
    <w:rsid w:val="001C74ED"/>
    <w:rPr>
      <w:vertAlign w:val="superscript"/>
    </w:rPr>
  </w:style>
  <w:style w:type="paragraph" w:styleId="ListParagraph">
    <w:name w:val="List Paragraph"/>
    <w:basedOn w:val="Normal"/>
    <w:uiPriority w:val="34"/>
    <w:qFormat/>
    <w:rsid w:val="00AB540B"/>
    <w:pPr>
      <w:ind w:left="720"/>
      <w:contextualSpacing/>
    </w:pPr>
  </w:style>
  <w:style w:type="character" w:styleId="Hyperlink">
    <w:name w:val="Hyperlink"/>
    <w:basedOn w:val="DefaultParagraphFont"/>
    <w:uiPriority w:val="99"/>
    <w:unhideWhenUsed/>
    <w:rsid w:val="00F02808"/>
    <w:rPr>
      <w:color w:val="0563C1" w:themeColor="hyperlink"/>
      <w:u w:val="single"/>
    </w:rPr>
  </w:style>
  <w:style w:type="character" w:styleId="UnresolvedMention">
    <w:name w:val="Unresolved Mention"/>
    <w:basedOn w:val="DefaultParagraphFont"/>
    <w:uiPriority w:val="99"/>
    <w:rsid w:val="00F02808"/>
    <w:rPr>
      <w:color w:val="605E5C"/>
      <w:shd w:val="clear" w:color="auto" w:fill="E1DFDD"/>
    </w:rPr>
  </w:style>
  <w:style w:type="character" w:customStyle="1" w:styleId="Heading4Char">
    <w:name w:val="Heading 4 Char"/>
    <w:basedOn w:val="DefaultParagraphFont"/>
    <w:link w:val="Heading4"/>
    <w:uiPriority w:val="9"/>
    <w:rsid w:val="00D1719E"/>
    <w:rPr>
      <w:rFonts w:ascii="Times New Roman" w:eastAsia="Times New Roman" w:hAnsi="Times New Roman" w:cs="Times New Roman"/>
      <w:b/>
      <w:bCs/>
      <w:lang w:val="en-CA"/>
    </w:rPr>
  </w:style>
  <w:style w:type="paragraph" w:customStyle="1" w:styleId="sec">
    <w:name w:val="sec"/>
    <w:basedOn w:val="Normal"/>
    <w:rsid w:val="00D1719E"/>
    <w:pPr>
      <w:spacing w:before="100" w:beforeAutospacing="1" w:after="100" w:afterAutospacing="1"/>
    </w:pPr>
    <w:rPr>
      <w:rFonts w:ascii="Times New Roman" w:eastAsia="Times New Roman" w:hAnsi="Times New Roman" w:cs="Times New Roman"/>
      <w:lang w:val="en-CA"/>
    </w:rPr>
  </w:style>
  <w:style w:type="character" w:customStyle="1" w:styleId="secnumholder">
    <w:name w:val="secnumholder"/>
    <w:basedOn w:val="DefaultParagraphFont"/>
    <w:rsid w:val="00D1719E"/>
  </w:style>
  <w:style w:type="paragraph" w:customStyle="1" w:styleId="def">
    <w:name w:val="def"/>
    <w:basedOn w:val="Normal"/>
    <w:rsid w:val="00D1719E"/>
    <w:pPr>
      <w:spacing w:before="100" w:beforeAutospacing="1" w:after="100" w:afterAutospacing="1"/>
    </w:pPr>
    <w:rPr>
      <w:rFonts w:ascii="Times New Roman" w:eastAsia="Times New Roman" w:hAnsi="Times New Roman" w:cs="Times New Roman"/>
      <w:lang w:val="en-CA"/>
    </w:rPr>
  </w:style>
  <w:style w:type="character" w:customStyle="1" w:styleId="normal-bold-style">
    <w:name w:val="normal-bold-style"/>
    <w:basedOn w:val="DefaultParagraphFont"/>
    <w:rsid w:val="00D1719E"/>
  </w:style>
  <w:style w:type="paragraph" w:customStyle="1" w:styleId="sub">
    <w:name w:val="sub"/>
    <w:basedOn w:val="Normal"/>
    <w:rsid w:val="00D1719E"/>
    <w:pPr>
      <w:spacing w:before="100" w:beforeAutospacing="1" w:after="100" w:afterAutospacing="1"/>
    </w:pPr>
    <w:rPr>
      <w:rFonts w:ascii="Times New Roman" w:eastAsia="Times New Roman" w:hAnsi="Times New Roman" w:cs="Times New Roman"/>
      <w:lang w:val="en-CA"/>
    </w:rPr>
  </w:style>
  <w:style w:type="character" w:customStyle="1" w:styleId="holder">
    <w:name w:val="holder"/>
    <w:basedOn w:val="DefaultParagraphFont"/>
    <w:rsid w:val="00D1719E"/>
  </w:style>
  <w:style w:type="paragraph" w:customStyle="1" w:styleId="para">
    <w:name w:val="para"/>
    <w:basedOn w:val="Normal"/>
    <w:rsid w:val="00D1719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420">
      <w:bodyDiv w:val="1"/>
      <w:marLeft w:val="0"/>
      <w:marRight w:val="0"/>
      <w:marTop w:val="0"/>
      <w:marBottom w:val="0"/>
      <w:divBdr>
        <w:top w:val="none" w:sz="0" w:space="0" w:color="auto"/>
        <w:left w:val="none" w:sz="0" w:space="0" w:color="auto"/>
        <w:bottom w:val="none" w:sz="0" w:space="0" w:color="auto"/>
        <w:right w:val="none" w:sz="0" w:space="0" w:color="auto"/>
      </w:divBdr>
      <w:divsChild>
        <w:div w:id="473985635">
          <w:marLeft w:val="360"/>
          <w:marRight w:val="0"/>
          <w:marTop w:val="200"/>
          <w:marBottom w:val="0"/>
          <w:divBdr>
            <w:top w:val="none" w:sz="0" w:space="0" w:color="auto"/>
            <w:left w:val="none" w:sz="0" w:space="0" w:color="auto"/>
            <w:bottom w:val="none" w:sz="0" w:space="0" w:color="auto"/>
            <w:right w:val="none" w:sz="0" w:space="0" w:color="auto"/>
          </w:divBdr>
        </w:div>
        <w:div w:id="2130706743">
          <w:marLeft w:val="360"/>
          <w:marRight w:val="0"/>
          <w:marTop w:val="200"/>
          <w:marBottom w:val="0"/>
          <w:divBdr>
            <w:top w:val="none" w:sz="0" w:space="0" w:color="auto"/>
            <w:left w:val="none" w:sz="0" w:space="0" w:color="auto"/>
            <w:bottom w:val="none" w:sz="0" w:space="0" w:color="auto"/>
            <w:right w:val="none" w:sz="0" w:space="0" w:color="auto"/>
          </w:divBdr>
        </w:div>
        <w:div w:id="2141264515">
          <w:marLeft w:val="360"/>
          <w:marRight w:val="0"/>
          <w:marTop w:val="200"/>
          <w:marBottom w:val="0"/>
          <w:divBdr>
            <w:top w:val="none" w:sz="0" w:space="0" w:color="auto"/>
            <w:left w:val="none" w:sz="0" w:space="0" w:color="auto"/>
            <w:bottom w:val="none" w:sz="0" w:space="0" w:color="auto"/>
            <w:right w:val="none" w:sz="0" w:space="0" w:color="auto"/>
          </w:divBdr>
        </w:div>
        <w:div w:id="1770660948">
          <w:marLeft w:val="360"/>
          <w:marRight w:val="0"/>
          <w:marTop w:val="200"/>
          <w:marBottom w:val="0"/>
          <w:divBdr>
            <w:top w:val="none" w:sz="0" w:space="0" w:color="auto"/>
            <w:left w:val="none" w:sz="0" w:space="0" w:color="auto"/>
            <w:bottom w:val="none" w:sz="0" w:space="0" w:color="auto"/>
            <w:right w:val="none" w:sz="0" w:space="0" w:color="auto"/>
          </w:divBdr>
        </w:div>
        <w:div w:id="850099406">
          <w:marLeft w:val="360"/>
          <w:marRight w:val="0"/>
          <w:marTop w:val="200"/>
          <w:marBottom w:val="0"/>
          <w:divBdr>
            <w:top w:val="none" w:sz="0" w:space="0" w:color="auto"/>
            <w:left w:val="none" w:sz="0" w:space="0" w:color="auto"/>
            <w:bottom w:val="none" w:sz="0" w:space="0" w:color="auto"/>
            <w:right w:val="none" w:sz="0" w:space="0" w:color="auto"/>
          </w:divBdr>
        </w:div>
        <w:div w:id="1659456201">
          <w:marLeft w:val="360"/>
          <w:marRight w:val="0"/>
          <w:marTop w:val="200"/>
          <w:marBottom w:val="0"/>
          <w:divBdr>
            <w:top w:val="none" w:sz="0" w:space="0" w:color="auto"/>
            <w:left w:val="none" w:sz="0" w:space="0" w:color="auto"/>
            <w:bottom w:val="none" w:sz="0" w:space="0" w:color="auto"/>
            <w:right w:val="none" w:sz="0" w:space="0" w:color="auto"/>
          </w:divBdr>
        </w:div>
        <w:div w:id="1997761891">
          <w:marLeft w:val="360"/>
          <w:marRight w:val="0"/>
          <w:marTop w:val="200"/>
          <w:marBottom w:val="0"/>
          <w:divBdr>
            <w:top w:val="none" w:sz="0" w:space="0" w:color="auto"/>
            <w:left w:val="none" w:sz="0" w:space="0" w:color="auto"/>
            <w:bottom w:val="none" w:sz="0" w:space="0" w:color="auto"/>
            <w:right w:val="none" w:sz="0" w:space="0" w:color="auto"/>
          </w:divBdr>
        </w:div>
        <w:div w:id="937833963">
          <w:marLeft w:val="360"/>
          <w:marRight w:val="0"/>
          <w:marTop w:val="200"/>
          <w:marBottom w:val="0"/>
          <w:divBdr>
            <w:top w:val="none" w:sz="0" w:space="0" w:color="auto"/>
            <w:left w:val="none" w:sz="0" w:space="0" w:color="auto"/>
            <w:bottom w:val="none" w:sz="0" w:space="0" w:color="auto"/>
            <w:right w:val="none" w:sz="0" w:space="0" w:color="auto"/>
          </w:divBdr>
        </w:div>
        <w:div w:id="319306906">
          <w:marLeft w:val="360"/>
          <w:marRight w:val="0"/>
          <w:marTop w:val="200"/>
          <w:marBottom w:val="0"/>
          <w:divBdr>
            <w:top w:val="none" w:sz="0" w:space="0" w:color="auto"/>
            <w:left w:val="none" w:sz="0" w:space="0" w:color="auto"/>
            <w:bottom w:val="none" w:sz="0" w:space="0" w:color="auto"/>
            <w:right w:val="none" w:sz="0" w:space="0" w:color="auto"/>
          </w:divBdr>
        </w:div>
        <w:div w:id="263074029">
          <w:marLeft w:val="360"/>
          <w:marRight w:val="0"/>
          <w:marTop w:val="200"/>
          <w:marBottom w:val="0"/>
          <w:divBdr>
            <w:top w:val="none" w:sz="0" w:space="0" w:color="auto"/>
            <w:left w:val="none" w:sz="0" w:space="0" w:color="auto"/>
            <w:bottom w:val="none" w:sz="0" w:space="0" w:color="auto"/>
            <w:right w:val="none" w:sz="0" w:space="0" w:color="auto"/>
          </w:divBdr>
        </w:div>
        <w:div w:id="36784948">
          <w:marLeft w:val="360"/>
          <w:marRight w:val="0"/>
          <w:marTop w:val="200"/>
          <w:marBottom w:val="0"/>
          <w:divBdr>
            <w:top w:val="none" w:sz="0" w:space="0" w:color="auto"/>
            <w:left w:val="none" w:sz="0" w:space="0" w:color="auto"/>
            <w:bottom w:val="none" w:sz="0" w:space="0" w:color="auto"/>
            <w:right w:val="none" w:sz="0" w:space="0" w:color="auto"/>
          </w:divBdr>
        </w:div>
        <w:div w:id="593320710">
          <w:marLeft w:val="360"/>
          <w:marRight w:val="0"/>
          <w:marTop w:val="200"/>
          <w:marBottom w:val="0"/>
          <w:divBdr>
            <w:top w:val="none" w:sz="0" w:space="0" w:color="auto"/>
            <w:left w:val="none" w:sz="0" w:space="0" w:color="auto"/>
            <w:bottom w:val="none" w:sz="0" w:space="0" w:color="auto"/>
            <w:right w:val="none" w:sz="0" w:space="0" w:color="auto"/>
          </w:divBdr>
        </w:div>
      </w:divsChild>
    </w:div>
    <w:div w:id="601034498">
      <w:bodyDiv w:val="1"/>
      <w:marLeft w:val="0"/>
      <w:marRight w:val="0"/>
      <w:marTop w:val="0"/>
      <w:marBottom w:val="0"/>
      <w:divBdr>
        <w:top w:val="none" w:sz="0" w:space="0" w:color="auto"/>
        <w:left w:val="none" w:sz="0" w:space="0" w:color="auto"/>
        <w:bottom w:val="none" w:sz="0" w:space="0" w:color="auto"/>
        <w:right w:val="none" w:sz="0" w:space="0" w:color="auto"/>
      </w:divBdr>
    </w:div>
    <w:div w:id="654604915">
      <w:bodyDiv w:val="1"/>
      <w:marLeft w:val="0"/>
      <w:marRight w:val="0"/>
      <w:marTop w:val="0"/>
      <w:marBottom w:val="0"/>
      <w:divBdr>
        <w:top w:val="none" w:sz="0" w:space="0" w:color="auto"/>
        <w:left w:val="none" w:sz="0" w:space="0" w:color="auto"/>
        <w:bottom w:val="none" w:sz="0" w:space="0" w:color="auto"/>
        <w:right w:val="none" w:sz="0" w:space="0" w:color="auto"/>
      </w:divBdr>
      <w:divsChild>
        <w:div w:id="250696601">
          <w:marLeft w:val="360"/>
          <w:marRight w:val="0"/>
          <w:marTop w:val="200"/>
          <w:marBottom w:val="0"/>
          <w:divBdr>
            <w:top w:val="none" w:sz="0" w:space="0" w:color="auto"/>
            <w:left w:val="none" w:sz="0" w:space="0" w:color="auto"/>
            <w:bottom w:val="none" w:sz="0" w:space="0" w:color="auto"/>
            <w:right w:val="none" w:sz="0" w:space="0" w:color="auto"/>
          </w:divBdr>
        </w:div>
      </w:divsChild>
    </w:div>
    <w:div w:id="684131133">
      <w:bodyDiv w:val="1"/>
      <w:marLeft w:val="0"/>
      <w:marRight w:val="0"/>
      <w:marTop w:val="0"/>
      <w:marBottom w:val="0"/>
      <w:divBdr>
        <w:top w:val="none" w:sz="0" w:space="0" w:color="auto"/>
        <w:left w:val="none" w:sz="0" w:space="0" w:color="auto"/>
        <w:bottom w:val="none" w:sz="0" w:space="0" w:color="auto"/>
        <w:right w:val="none" w:sz="0" w:space="0" w:color="auto"/>
      </w:divBdr>
      <w:divsChild>
        <w:div w:id="1807157139">
          <w:marLeft w:val="360"/>
          <w:marRight w:val="0"/>
          <w:marTop w:val="200"/>
          <w:marBottom w:val="0"/>
          <w:divBdr>
            <w:top w:val="none" w:sz="0" w:space="0" w:color="auto"/>
            <w:left w:val="none" w:sz="0" w:space="0" w:color="auto"/>
            <w:bottom w:val="none" w:sz="0" w:space="0" w:color="auto"/>
            <w:right w:val="none" w:sz="0" w:space="0" w:color="auto"/>
          </w:divBdr>
        </w:div>
        <w:div w:id="892034723">
          <w:marLeft w:val="360"/>
          <w:marRight w:val="0"/>
          <w:marTop w:val="200"/>
          <w:marBottom w:val="0"/>
          <w:divBdr>
            <w:top w:val="none" w:sz="0" w:space="0" w:color="auto"/>
            <w:left w:val="none" w:sz="0" w:space="0" w:color="auto"/>
            <w:bottom w:val="none" w:sz="0" w:space="0" w:color="auto"/>
            <w:right w:val="none" w:sz="0" w:space="0" w:color="auto"/>
          </w:divBdr>
        </w:div>
      </w:divsChild>
    </w:div>
    <w:div w:id="948589666">
      <w:bodyDiv w:val="1"/>
      <w:marLeft w:val="0"/>
      <w:marRight w:val="0"/>
      <w:marTop w:val="0"/>
      <w:marBottom w:val="0"/>
      <w:divBdr>
        <w:top w:val="none" w:sz="0" w:space="0" w:color="auto"/>
        <w:left w:val="none" w:sz="0" w:space="0" w:color="auto"/>
        <w:bottom w:val="none" w:sz="0" w:space="0" w:color="auto"/>
        <w:right w:val="none" w:sz="0" w:space="0" w:color="auto"/>
      </w:divBdr>
      <w:divsChild>
        <w:div w:id="1884250312">
          <w:marLeft w:val="360"/>
          <w:marRight w:val="0"/>
          <w:marTop w:val="200"/>
          <w:marBottom w:val="0"/>
          <w:divBdr>
            <w:top w:val="none" w:sz="0" w:space="0" w:color="auto"/>
            <w:left w:val="none" w:sz="0" w:space="0" w:color="auto"/>
            <w:bottom w:val="none" w:sz="0" w:space="0" w:color="auto"/>
            <w:right w:val="none" w:sz="0" w:space="0" w:color="auto"/>
          </w:divBdr>
        </w:div>
        <w:div w:id="1687907374">
          <w:marLeft w:val="360"/>
          <w:marRight w:val="0"/>
          <w:marTop w:val="200"/>
          <w:marBottom w:val="0"/>
          <w:divBdr>
            <w:top w:val="none" w:sz="0" w:space="0" w:color="auto"/>
            <w:left w:val="none" w:sz="0" w:space="0" w:color="auto"/>
            <w:bottom w:val="none" w:sz="0" w:space="0" w:color="auto"/>
            <w:right w:val="none" w:sz="0" w:space="0" w:color="auto"/>
          </w:divBdr>
        </w:div>
        <w:div w:id="1275287077">
          <w:marLeft w:val="360"/>
          <w:marRight w:val="0"/>
          <w:marTop w:val="200"/>
          <w:marBottom w:val="0"/>
          <w:divBdr>
            <w:top w:val="none" w:sz="0" w:space="0" w:color="auto"/>
            <w:left w:val="none" w:sz="0" w:space="0" w:color="auto"/>
            <w:bottom w:val="none" w:sz="0" w:space="0" w:color="auto"/>
            <w:right w:val="none" w:sz="0" w:space="0" w:color="auto"/>
          </w:divBdr>
        </w:div>
        <w:div w:id="1289161383">
          <w:marLeft w:val="360"/>
          <w:marRight w:val="0"/>
          <w:marTop w:val="200"/>
          <w:marBottom w:val="0"/>
          <w:divBdr>
            <w:top w:val="none" w:sz="0" w:space="0" w:color="auto"/>
            <w:left w:val="none" w:sz="0" w:space="0" w:color="auto"/>
            <w:bottom w:val="none" w:sz="0" w:space="0" w:color="auto"/>
            <w:right w:val="none" w:sz="0" w:space="0" w:color="auto"/>
          </w:divBdr>
        </w:div>
      </w:divsChild>
    </w:div>
    <w:div w:id="1333530936">
      <w:bodyDiv w:val="1"/>
      <w:marLeft w:val="0"/>
      <w:marRight w:val="0"/>
      <w:marTop w:val="0"/>
      <w:marBottom w:val="0"/>
      <w:divBdr>
        <w:top w:val="none" w:sz="0" w:space="0" w:color="auto"/>
        <w:left w:val="none" w:sz="0" w:space="0" w:color="auto"/>
        <w:bottom w:val="none" w:sz="0" w:space="0" w:color="auto"/>
        <w:right w:val="none" w:sz="0" w:space="0" w:color="auto"/>
      </w:divBdr>
    </w:div>
    <w:div w:id="1840150279">
      <w:bodyDiv w:val="1"/>
      <w:marLeft w:val="0"/>
      <w:marRight w:val="0"/>
      <w:marTop w:val="0"/>
      <w:marBottom w:val="0"/>
      <w:divBdr>
        <w:top w:val="none" w:sz="0" w:space="0" w:color="auto"/>
        <w:left w:val="none" w:sz="0" w:space="0" w:color="auto"/>
        <w:bottom w:val="none" w:sz="0" w:space="0" w:color="auto"/>
        <w:right w:val="none" w:sz="0" w:space="0" w:color="auto"/>
      </w:divBdr>
      <w:divsChild>
        <w:div w:id="1356349379">
          <w:marLeft w:val="360"/>
          <w:marRight w:val="0"/>
          <w:marTop w:val="200"/>
          <w:marBottom w:val="0"/>
          <w:divBdr>
            <w:top w:val="none" w:sz="0" w:space="0" w:color="auto"/>
            <w:left w:val="none" w:sz="0" w:space="0" w:color="auto"/>
            <w:bottom w:val="none" w:sz="0" w:space="0" w:color="auto"/>
            <w:right w:val="none" w:sz="0" w:space="0" w:color="auto"/>
          </w:divBdr>
        </w:div>
        <w:div w:id="1883394864">
          <w:marLeft w:val="360"/>
          <w:marRight w:val="0"/>
          <w:marTop w:val="200"/>
          <w:marBottom w:val="0"/>
          <w:divBdr>
            <w:top w:val="none" w:sz="0" w:space="0" w:color="auto"/>
            <w:left w:val="none" w:sz="0" w:space="0" w:color="auto"/>
            <w:bottom w:val="none" w:sz="0" w:space="0" w:color="auto"/>
            <w:right w:val="none" w:sz="0" w:space="0" w:color="auto"/>
          </w:divBdr>
        </w:div>
        <w:div w:id="1164928357">
          <w:marLeft w:val="360"/>
          <w:marRight w:val="0"/>
          <w:marTop w:val="200"/>
          <w:marBottom w:val="0"/>
          <w:divBdr>
            <w:top w:val="none" w:sz="0" w:space="0" w:color="auto"/>
            <w:left w:val="none" w:sz="0" w:space="0" w:color="auto"/>
            <w:bottom w:val="none" w:sz="0" w:space="0" w:color="auto"/>
            <w:right w:val="none" w:sz="0" w:space="0" w:color="auto"/>
          </w:divBdr>
        </w:div>
      </w:divsChild>
    </w:div>
    <w:div w:id="1935629149">
      <w:bodyDiv w:val="1"/>
      <w:marLeft w:val="0"/>
      <w:marRight w:val="0"/>
      <w:marTop w:val="0"/>
      <w:marBottom w:val="0"/>
      <w:divBdr>
        <w:top w:val="none" w:sz="0" w:space="0" w:color="auto"/>
        <w:left w:val="none" w:sz="0" w:space="0" w:color="auto"/>
        <w:bottom w:val="none" w:sz="0" w:space="0" w:color="auto"/>
        <w:right w:val="none" w:sz="0" w:space="0" w:color="auto"/>
      </w:divBdr>
      <w:divsChild>
        <w:div w:id="1463039164">
          <w:marLeft w:val="360"/>
          <w:marRight w:val="0"/>
          <w:marTop w:val="200"/>
          <w:marBottom w:val="0"/>
          <w:divBdr>
            <w:top w:val="none" w:sz="0" w:space="0" w:color="auto"/>
            <w:left w:val="none" w:sz="0" w:space="0" w:color="auto"/>
            <w:bottom w:val="none" w:sz="0" w:space="0" w:color="auto"/>
            <w:right w:val="none" w:sz="0" w:space="0" w:color="auto"/>
          </w:divBdr>
        </w:div>
        <w:div w:id="2137529124">
          <w:marLeft w:val="360"/>
          <w:marRight w:val="0"/>
          <w:marTop w:val="200"/>
          <w:marBottom w:val="0"/>
          <w:divBdr>
            <w:top w:val="none" w:sz="0" w:space="0" w:color="auto"/>
            <w:left w:val="none" w:sz="0" w:space="0" w:color="auto"/>
            <w:bottom w:val="none" w:sz="0" w:space="0" w:color="auto"/>
            <w:right w:val="none" w:sz="0" w:space="0" w:color="auto"/>
          </w:divBdr>
        </w:div>
        <w:div w:id="1336229666">
          <w:marLeft w:val="360"/>
          <w:marRight w:val="0"/>
          <w:marTop w:val="200"/>
          <w:marBottom w:val="0"/>
          <w:divBdr>
            <w:top w:val="none" w:sz="0" w:space="0" w:color="auto"/>
            <w:left w:val="none" w:sz="0" w:space="0" w:color="auto"/>
            <w:bottom w:val="none" w:sz="0" w:space="0" w:color="auto"/>
            <w:right w:val="none" w:sz="0" w:space="0" w:color="auto"/>
          </w:divBdr>
        </w:div>
        <w:div w:id="1354575731">
          <w:marLeft w:val="360"/>
          <w:marRight w:val="0"/>
          <w:marTop w:val="200"/>
          <w:marBottom w:val="0"/>
          <w:divBdr>
            <w:top w:val="none" w:sz="0" w:space="0" w:color="auto"/>
            <w:left w:val="none" w:sz="0" w:space="0" w:color="auto"/>
            <w:bottom w:val="none" w:sz="0" w:space="0" w:color="auto"/>
            <w:right w:val="none" w:sz="0" w:space="0" w:color="auto"/>
          </w:divBdr>
        </w:div>
      </w:divsChild>
    </w:div>
    <w:div w:id="2121214432">
      <w:bodyDiv w:val="1"/>
      <w:marLeft w:val="0"/>
      <w:marRight w:val="0"/>
      <w:marTop w:val="0"/>
      <w:marBottom w:val="0"/>
      <w:divBdr>
        <w:top w:val="none" w:sz="0" w:space="0" w:color="auto"/>
        <w:left w:val="none" w:sz="0" w:space="0" w:color="auto"/>
        <w:bottom w:val="none" w:sz="0" w:space="0" w:color="auto"/>
        <w:right w:val="none" w:sz="0" w:space="0" w:color="auto"/>
      </w:divBdr>
      <w:divsChild>
        <w:div w:id="48497297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claws.ca/civix/document/id/complete/statreg/96288_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445E-890C-9844-B3C4-82573FE1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2</cp:revision>
  <dcterms:created xsi:type="dcterms:W3CDTF">2023-02-13T20:51:00Z</dcterms:created>
  <dcterms:modified xsi:type="dcterms:W3CDTF">2023-02-13T20:51:00Z</dcterms:modified>
</cp:coreProperties>
</file>